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drawings/drawing23.xml" ContentType="application/vnd.openxmlformats-officedocument.drawingml.chartshapes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drawings/drawing24.xml" ContentType="application/vnd.openxmlformats-officedocument.drawingml.chartshapes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drawings/drawing25.xml" ContentType="application/vnd.openxmlformats-officedocument.drawingml.chartshapes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drawings/drawing26.xml" ContentType="application/vnd.openxmlformats-officedocument.drawingml.chartshapes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drawings/drawing27.xml" ContentType="application/vnd.openxmlformats-officedocument.drawingml.chartshapes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drawings/drawing28.xml" ContentType="application/vnd.openxmlformats-officedocument.drawingml.chartshapes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drawings/drawing29.xml" ContentType="application/vnd.openxmlformats-officedocument.drawingml.chartshapes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drawings/drawing30.xml" ContentType="application/vnd.openxmlformats-officedocument.drawingml.chartshapes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drawings/drawing31.xml" ContentType="application/vnd.openxmlformats-officedocument.drawingml.chartshapes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drawings/drawing32.xml" ContentType="application/vnd.openxmlformats-officedocument.drawingml.chartshapes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drawings/drawing33.xml" ContentType="application/vnd.openxmlformats-officedocument.drawingml.chartshapes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drawings/drawing34.xml" ContentType="application/vnd.openxmlformats-officedocument.drawingml.chartshapes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drawings/drawing35.xml" ContentType="application/vnd.openxmlformats-officedocument.drawingml.chartshapes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drawings/drawing36.xml" ContentType="application/vnd.openxmlformats-officedocument.drawingml.chartshapes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drawings/drawing37.xml" ContentType="application/vnd.openxmlformats-officedocument.drawingml.chartshapes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drawings/drawing38.xml" ContentType="application/vnd.openxmlformats-officedocument.drawingml.chartshapes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drawings/drawing39.xml" ContentType="application/vnd.openxmlformats-officedocument.drawingml.chartshapes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drawings/drawing40.xml" ContentType="application/vnd.openxmlformats-officedocument.drawingml.chartshapes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drawings/drawing41.xml" ContentType="application/vnd.openxmlformats-officedocument.drawingml.chartshapes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drawings/drawing42.xml" ContentType="application/vnd.openxmlformats-officedocument.drawingml.chartshapes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drawings/drawing43.xml" ContentType="application/vnd.openxmlformats-officedocument.drawingml.chartshapes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drawings/drawing44.xml" ContentType="application/vnd.openxmlformats-officedocument.drawingml.chartshapes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drawings/drawing45.xml" ContentType="application/vnd.openxmlformats-officedocument.drawingml.chartshapes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drawings/drawing46.xml" ContentType="application/vnd.openxmlformats-officedocument.drawingml.chartshapes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drawings/drawing47.xml" ContentType="application/vnd.openxmlformats-officedocument.drawingml.chartshapes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drawings/drawing4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494891549"/>
        <w:docPartObj>
          <w:docPartGallery w:val="Cover Pages"/>
          <w:docPartUnique/>
        </w:docPartObj>
      </w:sdtPr>
      <w:sdtEndPr/>
      <w:sdtContent>
        <w:p w:rsidR="00D04DF1" w:rsidRDefault="00D04DF1"/>
        <w:p w:rsidR="00D04DF1" w:rsidRDefault="00D04DF1"/>
        <w:p w:rsidR="00D04DF1" w:rsidRDefault="00D04DF1"/>
        <w:tbl>
          <w:tblPr>
            <w:tblpPr w:leftFromText="187" w:rightFromText="187" w:vertAnchor="page" w:horzAnchor="margin" w:tblpXSpec="center" w:tblpY="391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350"/>
          </w:tblGrid>
          <w:tr w:rsidR="00D04DF1">
            <w:tc>
              <w:tcPr>
                <w:tcW w:w="1055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4DF1" w:rsidRDefault="00D04DF1" w:rsidP="00D04DF1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</w:rPr>
                  <w:drawing>
                    <wp:inline distT="0" distB="0" distL="0" distR="0" wp14:anchorId="5C03BC55" wp14:editId="165CF5C1">
                      <wp:extent cx="5029200" cy="2314261"/>
                      <wp:effectExtent l="19050" t="0" r="0" b="0"/>
                      <wp:docPr id="19" name="Picture 16" descr="CEFLogoGoo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EFLogoGood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29200" cy="23142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04DF1">
            <w:tc>
              <w:tcPr>
                <w:tcW w:w="10552" w:type="dxa"/>
              </w:tcPr>
              <w:p w:rsidR="00D04DF1" w:rsidRPr="00D04DF1" w:rsidRDefault="00814673" w:rsidP="00F72EEE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72"/>
                  </w:rPr>
                  <w:t>Education Funding History</w:t>
                </w:r>
              </w:p>
            </w:tc>
          </w:tr>
          <w:tr w:rsidR="00D04DF1">
            <w:tc>
              <w:tcPr>
                <w:tcW w:w="1055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4DF1" w:rsidRDefault="004E13C4" w:rsidP="004E13C4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June 29</w:t>
                </w:r>
                <w:r w:rsidR="00F31063">
                  <w:rPr>
                    <w:rFonts w:asciiTheme="majorHAnsi" w:eastAsiaTheme="majorEastAsia" w:hAnsiTheme="majorHAnsi" w:cstheme="majorBidi"/>
                  </w:rPr>
                  <w:t>, 201</w:t>
                </w:r>
                <w:r w:rsidR="00085277">
                  <w:rPr>
                    <w:rFonts w:asciiTheme="majorHAnsi" w:eastAsiaTheme="majorEastAsia" w:hAnsiTheme="majorHAnsi" w:cstheme="majorBidi"/>
                  </w:rPr>
                  <w:t>5</w:t>
                </w:r>
                <w:r w:rsidR="005E15DC">
                  <w:rPr>
                    <w:rFonts w:asciiTheme="majorHAnsi" w:eastAsiaTheme="majorEastAsia" w:hAnsiTheme="majorHAnsi" w:cstheme="majorBidi"/>
                  </w:rPr>
                  <w:t xml:space="preserve"> </w:t>
                </w:r>
              </w:p>
            </w:tc>
          </w:tr>
        </w:tbl>
        <w:p w:rsidR="006B30DE" w:rsidRDefault="006B30DE"/>
        <w:p w:rsidR="002B775D" w:rsidRDefault="00802601" w:rsidP="002B775D">
          <w:r>
            <w:br w:type="page"/>
          </w:r>
        </w:p>
        <w:p w:rsidR="00802601" w:rsidRPr="002B775D" w:rsidRDefault="00BA0E7F" w:rsidP="002B775D">
          <w:pPr>
            <w:rPr>
              <w:rFonts w:eastAsiaTheme="minorHAnsi"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lastRenderedPageBreak/>
            <w:br/>
          </w:r>
          <w:r w:rsidR="00802601" w:rsidRPr="002B775D">
            <w:rPr>
              <w:rFonts w:eastAsiaTheme="minorHAnsi"/>
              <w:sz w:val="24"/>
              <w:szCs w:val="24"/>
            </w:rPr>
            <w:t xml:space="preserve">The following charts provide yearly </w:t>
          </w:r>
          <w:r w:rsidR="002F089F">
            <w:rPr>
              <w:rFonts w:eastAsiaTheme="minorHAnsi"/>
              <w:sz w:val="24"/>
              <w:szCs w:val="24"/>
            </w:rPr>
            <w:t xml:space="preserve">Budget Authority </w:t>
          </w:r>
          <w:r w:rsidR="00802601" w:rsidRPr="002B775D">
            <w:rPr>
              <w:rFonts w:eastAsiaTheme="minorHAnsi"/>
              <w:sz w:val="24"/>
              <w:szCs w:val="24"/>
            </w:rPr>
            <w:t>funding levels between Fiscal Year (FY) 2002</w:t>
          </w:r>
          <w:r w:rsidR="004E13C4">
            <w:rPr>
              <w:rFonts w:eastAsiaTheme="minorHAnsi"/>
              <w:sz w:val="24"/>
              <w:szCs w:val="24"/>
            </w:rPr>
            <w:t xml:space="preserve"> and FY 2015,</w:t>
          </w:r>
          <w:r w:rsidR="00802601" w:rsidRPr="002B775D">
            <w:rPr>
              <w:rFonts w:eastAsiaTheme="minorHAnsi"/>
              <w:sz w:val="24"/>
              <w:szCs w:val="24"/>
            </w:rPr>
            <w:t xml:space="preserve"> </w:t>
          </w:r>
          <w:r w:rsidR="00814A6F">
            <w:rPr>
              <w:rFonts w:eastAsiaTheme="minorHAnsi"/>
              <w:sz w:val="24"/>
              <w:szCs w:val="24"/>
            </w:rPr>
            <w:t xml:space="preserve">the President’s proposed </w:t>
          </w:r>
          <w:r w:rsidR="00802601" w:rsidRPr="002B775D">
            <w:rPr>
              <w:rFonts w:eastAsiaTheme="minorHAnsi"/>
              <w:sz w:val="24"/>
              <w:szCs w:val="24"/>
            </w:rPr>
            <w:t>FY 201</w:t>
          </w:r>
          <w:r w:rsidR="00814A6F">
            <w:rPr>
              <w:rFonts w:eastAsiaTheme="minorHAnsi"/>
              <w:sz w:val="24"/>
              <w:szCs w:val="24"/>
            </w:rPr>
            <w:t>6 budget</w:t>
          </w:r>
          <w:r w:rsidR="004E13C4">
            <w:rPr>
              <w:rFonts w:eastAsiaTheme="minorHAnsi"/>
              <w:sz w:val="24"/>
              <w:szCs w:val="24"/>
            </w:rPr>
            <w:t>, and the House and Senate Appropriations Committees’ FY 2016 bills</w:t>
          </w:r>
          <w:r w:rsidR="00F31063">
            <w:rPr>
              <w:rFonts w:eastAsiaTheme="minorHAnsi"/>
              <w:sz w:val="24"/>
              <w:szCs w:val="24"/>
            </w:rPr>
            <w:t xml:space="preserve"> </w:t>
          </w:r>
          <w:r w:rsidR="00802601" w:rsidRPr="002B775D">
            <w:rPr>
              <w:rFonts w:eastAsiaTheme="minorHAnsi"/>
              <w:sz w:val="24"/>
              <w:szCs w:val="24"/>
            </w:rPr>
            <w:t>for</w:t>
          </w:r>
          <w:r w:rsidR="00814A6F">
            <w:rPr>
              <w:rFonts w:eastAsiaTheme="minorHAnsi"/>
              <w:sz w:val="24"/>
              <w:szCs w:val="24"/>
            </w:rPr>
            <w:t xml:space="preserve"> major </w:t>
          </w:r>
          <w:r w:rsidR="00814A6F" w:rsidRPr="002B775D">
            <w:rPr>
              <w:rFonts w:eastAsiaTheme="minorHAnsi"/>
              <w:sz w:val="24"/>
              <w:szCs w:val="24"/>
            </w:rPr>
            <w:t>discretionary fund</w:t>
          </w:r>
          <w:r w:rsidR="00814A6F">
            <w:rPr>
              <w:rFonts w:eastAsiaTheme="minorHAnsi"/>
              <w:sz w:val="24"/>
              <w:szCs w:val="24"/>
            </w:rPr>
            <w:t>ed programs</w:t>
          </w:r>
          <w:r w:rsidR="00814A6F" w:rsidRPr="002B775D">
            <w:rPr>
              <w:rFonts w:eastAsiaTheme="minorHAnsi"/>
              <w:sz w:val="24"/>
              <w:szCs w:val="24"/>
            </w:rPr>
            <w:t xml:space="preserve"> </w:t>
          </w:r>
          <w:r w:rsidR="00802601" w:rsidRPr="002B775D">
            <w:rPr>
              <w:rFonts w:eastAsiaTheme="minorHAnsi"/>
              <w:sz w:val="24"/>
              <w:szCs w:val="24"/>
            </w:rPr>
            <w:t xml:space="preserve">the U.S. Department of Education </w:t>
          </w:r>
          <w:r w:rsidR="001D0DF2">
            <w:rPr>
              <w:rFonts w:eastAsiaTheme="minorHAnsi"/>
              <w:sz w:val="24"/>
              <w:szCs w:val="24"/>
            </w:rPr>
            <w:t xml:space="preserve">(ED) </w:t>
          </w:r>
          <w:r w:rsidR="00802601" w:rsidRPr="002B775D">
            <w:rPr>
              <w:rFonts w:eastAsiaTheme="minorHAnsi"/>
              <w:sz w:val="24"/>
              <w:szCs w:val="24"/>
            </w:rPr>
            <w:t xml:space="preserve">and Head Start in the Department of Health and Human Services. </w:t>
          </w:r>
        </w:p>
        <w:p w:rsidR="002B775D" w:rsidRPr="002B775D" w:rsidRDefault="002B775D" w:rsidP="002B775D">
          <w:pPr>
            <w:spacing w:line="240" w:lineRule="auto"/>
            <w:rPr>
              <w:rFonts w:eastAsiaTheme="minorHAnsi"/>
              <w:sz w:val="24"/>
              <w:szCs w:val="24"/>
              <w:lang w:bidi="en-US"/>
            </w:rPr>
          </w:pPr>
          <w:r w:rsidRPr="002B775D">
            <w:rPr>
              <w:rFonts w:eastAsiaTheme="minorHAnsi"/>
              <w:sz w:val="24"/>
              <w:szCs w:val="24"/>
              <w:lang w:bidi="en-US"/>
            </w:rPr>
            <w:t>The final FY 13</w:t>
          </w:r>
          <w:r w:rsidR="001D0DF2">
            <w:rPr>
              <w:rFonts w:eastAsiaTheme="minorHAnsi"/>
              <w:sz w:val="24"/>
              <w:szCs w:val="24"/>
              <w:lang w:bidi="en-US"/>
            </w:rPr>
            <w:t xml:space="preserve"> program </w:t>
          </w:r>
          <w:r w:rsidRPr="002B775D">
            <w:rPr>
              <w:rFonts w:eastAsiaTheme="minorHAnsi"/>
              <w:sz w:val="24"/>
              <w:szCs w:val="24"/>
              <w:lang w:bidi="en-US"/>
            </w:rPr>
            <w:t>levels generally represent a cut of 5.23% below FY 12 (except for programs such as Head Start which received a specific pre-sequester increase in the FY 13 CR).</w:t>
          </w:r>
        </w:p>
        <w:p w:rsidR="00802601" w:rsidRPr="00AB2C05" w:rsidRDefault="00802601" w:rsidP="002B775D">
          <w:pPr>
            <w:spacing w:line="240" w:lineRule="auto"/>
            <w:rPr>
              <w:rFonts w:eastAsiaTheme="minorHAnsi"/>
              <w:sz w:val="24"/>
              <w:szCs w:val="24"/>
            </w:rPr>
          </w:pPr>
          <w:r w:rsidRPr="00AB2C05">
            <w:rPr>
              <w:rFonts w:eastAsiaTheme="minorHAnsi"/>
              <w:sz w:val="24"/>
              <w:szCs w:val="24"/>
            </w:rPr>
            <w:t xml:space="preserve">Under sequestration, FY 13 total discretionary funding for the Department of Education </w:t>
          </w:r>
          <w:r w:rsidR="0026321C">
            <w:rPr>
              <w:rFonts w:eastAsiaTheme="minorHAnsi"/>
              <w:sz w:val="24"/>
              <w:szCs w:val="24"/>
            </w:rPr>
            <w:t xml:space="preserve">(ED) </w:t>
          </w:r>
          <w:r w:rsidRPr="00AB2C05">
            <w:rPr>
              <w:rFonts w:eastAsiaTheme="minorHAnsi"/>
              <w:sz w:val="24"/>
              <w:szCs w:val="24"/>
            </w:rPr>
            <w:t xml:space="preserve">(excluding Pell grants) </w:t>
          </w:r>
          <w:r w:rsidR="002F089F" w:rsidRPr="00AB2C05">
            <w:rPr>
              <w:rFonts w:eastAsiaTheme="minorHAnsi"/>
              <w:sz w:val="24"/>
              <w:szCs w:val="24"/>
            </w:rPr>
            <w:t>was</w:t>
          </w:r>
          <w:r w:rsidRPr="00AB2C05">
            <w:rPr>
              <w:rFonts w:eastAsiaTheme="minorHAnsi"/>
              <w:sz w:val="24"/>
              <w:szCs w:val="24"/>
            </w:rPr>
            <w:t xml:space="preserve"> at its lowest level since FY 200</w:t>
          </w:r>
          <w:r w:rsidR="002B775D" w:rsidRPr="00AB2C05">
            <w:rPr>
              <w:rFonts w:eastAsiaTheme="minorHAnsi"/>
              <w:sz w:val="24"/>
              <w:szCs w:val="24"/>
            </w:rPr>
            <w:t>4</w:t>
          </w:r>
          <w:r w:rsidRPr="00AB2C05">
            <w:rPr>
              <w:rFonts w:eastAsiaTheme="minorHAnsi"/>
              <w:sz w:val="24"/>
              <w:szCs w:val="24"/>
            </w:rPr>
            <w:t xml:space="preserve">.  </w:t>
          </w:r>
        </w:p>
        <w:p w:rsidR="00F31063" w:rsidRPr="00AB2C05" w:rsidRDefault="00F31063" w:rsidP="002B775D">
          <w:pPr>
            <w:spacing w:line="240" w:lineRule="auto"/>
            <w:rPr>
              <w:rFonts w:eastAsiaTheme="minorHAnsi"/>
              <w:sz w:val="24"/>
              <w:szCs w:val="24"/>
            </w:rPr>
          </w:pPr>
          <w:r w:rsidRPr="00AB2C05">
            <w:rPr>
              <w:rFonts w:eastAsiaTheme="minorHAnsi"/>
              <w:sz w:val="24"/>
              <w:szCs w:val="24"/>
            </w:rPr>
            <w:t>The FY 2014 omnibus appropriations bill only partially restored the sequester cuts, leaving total discretionary funding for the Department of Education (excluding Pell grants) below the FY 200</w:t>
          </w:r>
          <w:r w:rsidR="001902F6" w:rsidRPr="00AB2C05">
            <w:rPr>
              <w:rFonts w:eastAsiaTheme="minorHAnsi"/>
              <w:sz w:val="24"/>
              <w:szCs w:val="24"/>
            </w:rPr>
            <w:t>6</w:t>
          </w:r>
          <w:r w:rsidRPr="00AB2C05">
            <w:rPr>
              <w:rFonts w:eastAsiaTheme="minorHAnsi"/>
              <w:sz w:val="24"/>
              <w:szCs w:val="24"/>
            </w:rPr>
            <w:t xml:space="preserve"> level. </w:t>
          </w:r>
        </w:p>
        <w:p w:rsidR="001902F6" w:rsidRPr="00AB2C05" w:rsidRDefault="001902F6" w:rsidP="002B775D">
          <w:pPr>
            <w:spacing w:line="240" w:lineRule="auto"/>
            <w:rPr>
              <w:rFonts w:eastAsiaTheme="minorHAnsi"/>
              <w:sz w:val="24"/>
              <w:szCs w:val="24"/>
            </w:rPr>
          </w:pPr>
          <w:r w:rsidRPr="00AB2C05">
            <w:rPr>
              <w:rFonts w:eastAsiaTheme="minorHAnsi"/>
              <w:sz w:val="24"/>
              <w:szCs w:val="24"/>
            </w:rPr>
            <w:t>The FY 2015 CRomnibus increased total discretionary funding for the Department of Education (excluding Pell grants) by $137 million, but that still le</w:t>
          </w:r>
          <w:r w:rsidR="00AB2C05">
            <w:rPr>
              <w:rFonts w:eastAsiaTheme="minorHAnsi"/>
              <w:sz w:val="24"/>
              <w:szCs w:val="24"/>
            </w:rPr>
            <w:t>ft</w:t>
          </w:r>
          <w:r w:rsidRPr="00AB2C05">
            <w:rPr>
              <w:rFonts w:eastAsiaTheme="minorHAnsi"/>
              <w:sz w:val="24"/>
              <w:szCs w:val="24"/>
            </w:rPr>
            <w:t xml:space="preserve"> that level below FY 200</w:t>
          </w:r>
          <w:r w:rsidR="004E13C4">
            <w:rPr>
              <w:rFonts w:eastAsiaTheme="minorHAnsi"/>
              <w:sz w:val="24"/>
              <w:szCs w:val="24"/>
            </w:rPr>
            <w:t>8</w:t>
          </w:r>
          <w:r w:rsidRPr="00AB2C05">
            <w:rPr>
              <w:rFonts w:eastAsiaTheme="minorHAnsi"/>
              <w:sz w:val="24"/>
              <w:szCs w:val="24"/>
            </w:rPr>
            <w:t xml:space="preserve">. </w:t>
          </w:r>
        </w:p>
        <w:p w:rsidR="00814A6F" w:rsidRDefault="00814A6F" w:rsidP="002B775D">
          <w:pPr>
            <w:spacing w:line="240" w:lineRule="auto"/>
            <w:rPr>
              <w:rFonts w:eastAsiaTheme="minorHAnsi"/>
              <w:sz w:val="24"/>
              <w:szCs w:val="24"/>
            </w:rPr>
          </w:pPr>
          <w:r w:rsidRPr="00AB2C05">
            <w:rPr>
              <w:rFonts w:eastAsiaTheme="minorHAnsi"/>
              <w:sz w:val="24"/>
              <w:szCs w:val="24"/>
            </w:rPr>
            <w:t xml:space="preserve">The </w:t>
          </w:r>
          <w:r w:rsidR="00AB2C05" w:rsidRPr="00AB2C05">
            <w:rPr>
              <w:rFonts w:eastAsiaTheme="minorHAnsi"/>
              <w:sz w:val="24"/>
              <w:szCs w:val="24"/>
            </w:rPr>
            <w:t>President’s</w:t>
          </w:r>
          <w:r w:rsidRPr="00AB2C05">
            <w:rPr>
              <w:rFonts w:eastAsiaTheme="minorHAnsi"/>
              <w:sz w:val="24"/>
              <w:szCs w:val="24"/>
            </w:rPr>
            <w:t xml:space="preserve"> </w:t>
          </w:r>
          <w:r w:rsidR="00BA0E7F">
            <w:rPr>
              <w:rFonts w:eastAsiaTheme="minorHAnsi"/>
              <w:sz w:val="24"/>
              <w:szCs w:val="24"/>
            </w:rPr>
            <w:t xml:space="preserve">FY 2016 </w:t>
          </w:r>
          <w:r w:rsidRPr="00AB2C05">
            <w:rPr>
              <w:rFonts w:eastAsiaTheme="minorHAnsi"/>
              <w:sz w:val="24"/>
              <w:szCs w:val="24"/>
            </w:rPr>
            <w:t xml:space="preserve">Budget </w:t>
          </w:r>
          <w:r w:rsidR="00AB2C05" w:rsidRPr="00AB2C05">
            <w:rPr>
              <w:rFonts w:eastAsiaTheme="minorHAnsi"/>
              <w:sz w:val="24"/>
              <w:szCs w:val="24"/>
            </w:rPr>
            <w:t xml:space="preserve">proposes an overall increase in discretionary funding for </w:t>
          </w:r>
          <w:r w:rsidR="001D0DF2">
            <w:rPr>
              <w:rFonts w:eastAsiaTheme="minorHAnsi"/>
              <w:sz w:val="24"/>
              <w:szCs w:val="24"/>
            </w:rPr>
            <w:t>ED</w:t>
          </w:r>
          <w:r w:rsidR="00AB2C05" w:rsidRPr="00AB2C05">
            <w:rPr>
              <w:rFonts w:eastAsiaTheme="minorHAnsi"/>
              <w:sz w:val="24"/>
              <w:szCs w:val="24"/>
            </w:rPr>
            <w:t xml:space="preserve"> of $3.61 billion (+5.4%).  </w:t>
          </w:r>
          <w:r w:rsidR="00AB2C05">
            <w:rPr>
              <w:rFonts w:eastAsiaTheme="minorHAnsi"/>
              <w:sz w:val="24"/>
              <w:szCs w:val="24"/>
            </w:rPr>
            <w:t>Since</w:t>
          </w:r>
          <w:r w:rsidR="00AB2C05" w:rsidRPr="00AB2C05">
            <w:rPr>
              <w:rFonts w:eastAsiaTheme="minorHAnsi"/>
              <w:sz w:val="24"/>
              <w:szCs w:val="24"/>
            </w:rPr>
            <w:t xml:space="preserve"> funding for Pell would be frozen, the same increase applies to </w:t>
          </w:r>
          <w:r w:rsidR="00AB2C05">
            <w:rPr>
              <w:rFonts w:eastAsiaTheme="minorHAnsi"/>
              <w:sz w:val="24"/>
              <w:szCs w:val="24"/>
            </w:rPr>
            <w:t>discretionary</w:t>
          </w:r>
          <w:r w:rsidR="00AB2C05" w:rsidRPr="00AB2C05">
            <w:rPr>
              <w:rFonts w:eastAsiaTheme="minorHAnsi"/>
              <w:sz w:val="24"/>
              <w:szCs w:val="24"/>
            </w:rPr>
            <w:t xml:space="preserve"> funding excluding Pell grants and represents an increase of 8.1%. </w:t>
          </w:r>
        </w:p>
        <w:p w:rsidR="001D0DF2" w:rsidRDefault="001D0DF2" w:rsidP="002B775D">
          <w:pPr>
            <w:spacing w:line="240" w:lineRule="auto"/>
            <w:rPr>
              <w:rFonts w:eastAsiaTheme="minorHAnsi"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 xml:space="preserve">The </w:t>
          </w:r>
          <w:r w:rsidR="00BA0E7F">
            <w:rPr>
              <w:rFonts w:eastAsiaTheme="minorHAnsi"/>
              <w:sz w:val="24"/>
              <w:szCs w:val="24"/>
            </w:rPr>
            <w:t>President’s</w:t>
          </w:r>
          <w:r>
            <w:rPr>
              <w:rFonts w:eastAsiaTheme="minorHAnsi"/>
              <w:sz w:val="24"/>
              <w:szCs w:val="24"/>
            </w:rPr>
            <w:t xml:space="preserve"> budget </w:t>
          </w:r>
          <w:r w:rsidR="00BA0E7F">
            <w:rPr>
              <w:rFonts w:eastAsiaTheme="minorHAnsi"/>
              <w:sz w:val="24"/>
              <w:szCs w:val="24"/>
            </w:rPr>
            <w:t>proposes</w:t>
          </w:r>
          <w:r>
            <w:rPr>
              <w:rFonts w:eastAsiaTheme="minorHAnsi"/>
              <w:sz w:val="24"/>
              <w:szCs w:val="24"/>
            </w:rPr>
            <w:t xml:space="preserve"> several new </w:t>
          </w:r>
          <w:r w:rsidR="00BA0E7F">
            <w:rPr>
              <w:rFonts w:eastAsiaTheme="minorHAnsi"/>
              <w:sz w:val="24"/>
              <w:szCs w:val="24"/>
            </w:rPr>
            <w:t>discretionary</w:t>
          </w:r>
          <w:r>
            <w:rPr>
              <w:rFonts w:eastAsiaTheme="minorHAnsi"/>
              <w:sz w:val="24"/>
              <w:szCs w:val="24"/>
            </w:rPr>
            <w:t xml:space="preserve"> funded </w:t>
          </w:r>
          <w:r w:rsidR="00BA0E7F">
            <w:rPr>
              <w:rFonts w:eastAsiaTheme="minorHAnsi"/>
              <w:sz w:val="24"/>
              <w:szCs w:val="24"/>
            </w:rPr>
            <w:t>programs</w:t>
          </w:r>
          <w:r>
            <w:rPr>
              <w:rFonts w:eastAsiaTheme="minorHAnsi"/>
              <w:sz w:val="24"/>
              <w:szCs w:val="24"/>
            </w:rPr>
            <w:t xml:space="preserve"> that are not included </w:t>
          </w:r>
          <w:r w:rsidR="00BA0E7F">
            <w:rPr>
              <w:rFonts w:eastAsiaTheme="minorHAnsi"/>
              <w:sz w:val="24"/>
              <w:szCs w:val="24"/>
            </w:rPr>
            <w:t>i</w:t>
          </w:r>
          <w:r>
            <w:rPr>
              <w:rFonts w:eastAsiaTheme="minorHAnsi"/>
              <w:sz w:val="24"/>
              <w:szCs w:val="24"/>
            </w:rPr>
            <w:t xml:space="preserve">n the </w:t>
          </w:r>
          <w:r w:rsidR="00BA0E7F">
            <w:rPr>
              <w:rFonts w:eastAsiaTheme="minorHAnsi"/>
              <w:sz w:val="24"/>
              <w:szCs w:val="24"/>
            </w:rPr>
            <w:t>charts</w:t>
          </w:r>
          <w:r>
            <w:rPr>
              <w:rFonts w:eastAsiaTheme="minorHAnsi"/>
              <w:sz w:val="24"/>
              <w:szCs w:val="24"/>
            </w:rPr>
            <w:t xml:space="preserve"> in this </w:t>
          </w:r>
          <w:r w:rsidR="00BA0E7F">
            <w:rPr>
              <w:rFonts w:eastAsiaTheme="minorHAnsi"/>
              <w:sz w:val="24"/>
              <w:szCs w:val="24"/>
            </w:rPr>
            <w:t>document</w:t>
          </w:r>
          <w:r>
            <w:rPr>
              <w:rFonts w:eastAsiaTheme="minorHAnsi"/>
              <w:sz w:val="24"/>
              <w:szCs w:val="24"/>
            </w:rPr>
            <w:t>:</w:t>
          </w:r>
        </w:p>
        <w:p w:rsidR="001D0DF2" w:rsidRDefault="001D0DF2" w:rsidP="001D0DF2">
          <w:pPr>
            <w:pStyle w:val="ListParagraph"/>
            <w:numPr>
              <w:ilvl w:val="0"/>
              <w:numId w:val="7"/>
            </w:numPr>
            <w:spacing w:line="240" w:lineRule="auto"/>
            <w:rPr>
              <w:rFonts w:eastAsiaTheme="minorHAnsi"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 xml:space="preserve">Teacher and </w:t>
          </w:r>
          <w:r w:rsidR="00BA0E7F">
            <w:rPr>
              <w:rFonts w:eastAsiaTheme="minorHAnsi"/>
              <w:sz w:val="24"/>
              <w:szCs w:val="24"/>
            </w:rPr>
            <w:t>Principal</w:t>
          </w:r>
          <w:r>
            <w:rPr>
              <w:rFonts w:eastAsiaTheme="minorHAnsi"/>
              <w:sz w:val="24"/>
              <w:szCs w:val="24"/>
            </w:rPr>
            <w:t xml:space="preserve"> </w:t>
          </w:r>
          <w:r w:rsidR="00BA0E7F">
            <w:rPr>
              <w:rFonts w:eastAsiaTheme="minorHAnsi"/>
              <w:sz w:val="24"/>
              <w:szCs w:val="24"/>
            </w:rPr>
            <w:t>Pathways</w:t>
          </w:r>
          <w:r>
            <w:rPr>
              <w:rFonts w:eastAsiaTheme="minorHAnsi"/>
              <w:sz w:val="24"/>
              <w:szCs w:val="24"/>
            </w:rPr>
            <w:t xml:space="preserve"> = $139 million</w:t>
          </w:r>
        </w:p>
        <w:p w:rsidR="001D0DF2" w:rsidRDefault="00BA0E7F" w:rsidP="001D0DF2">
          <w:pPr>
            <w:pStyle w:val="ListParagraph"/>
            <w:numPr>
              <w:ilvl w:val="0"/>
              <w:numId w:val="7"/>
            </w:numPr>
            <w:spacing w:line="240" w:lineRule="auto"/>
            <w:rPr>
              <w:rFonts w:eastAsiaTheme="minorHAnsi"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>Leveraging</w:t>
          </w:r>
          <w:r w:rsidR="001D0DF2">
            <w:rPr>
              <w:rFonts w:eastAsiaTheme="minorHAnsi"/>
              <w:sz w:val="24"/>
              <w:szCs w:val="24"/>
            </w:rPr>
            <w:t xml:space="preserve"> What Works = $100 million</w:t>
          </w:r>
        </w:p>
        <w:p w:rsidR="001D0DF2" w:rsidRPr="001D0DF2" w:rsidRDefault="001D0DF2" w:rsidP="001D0DF2">
          <w:pPr>
            <w:pStyle w:val="ListParagraph"/>
            <w:numPr>
              <w:ilvl w:val="0"/>
              <w:numId w:val="7"/>
            </w:numPr>
            <w:spacing w:line="240" w:lineRule="auto"/>
            <w:rPr>
              <w:rFonts w:eastAsiaTheme="minorHAnsi"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>Next Generation High Schools =  $125 million</w:t>
          </w:r>
        </w:p>
        <w:p w:rsidR="001D0DF2" w:rsidRDefault="001D0DF2" w:rsidP="002B775D">
          <w:pPr>
            <w:spacing w:line="240" w:lineRule="auto"/>
            <w:rPr>
              <w:rFonts w:eastAsiaTheme="minorHAnsi"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 xml:space="preserve">The </w:t>
          </w:r>
          <w:r w:rsidR="00BA0E7F">
            <w:rPr>
              <w:rFonts w:eastAsiaTheme="minorHAnsi"/>
              <w:sz w:val="24"/>
              <w:szCs w:val="24"/>
            </w:rPr>
            <w:t>President’s</w:t>
          </w:r>
          <w:r>
            <w:rPr>
              <w:rFonts w:eastAsiaTheme="minorHAnsi"/>
              <w:sz w:val="24"/>
              <w:szCs w:val="24"/>
            </w:rPr>
            <w:t xml:space="preserve"> Budget also proposes </w:t>
          </w:r>
          <w:r w:rsidR="00BA0E7F">
            <w:rPr>
              <w:rFonts w:eastAsiaTheme="minorHAnsi"/>
              <w:sz w:val="24"/>
              <w:szCs w:val="24"/>
            </w:rPr>
            <w:t>several new</w:t>
          </w:r>
          <w:r>
            <w:rPr>
              <w:rFonts w:eastAsiaTheme="minorHAnsi"/>
              <w:sz w:val="24"/>
              <w:szCs w:val="24"/>
            </w:rPr>
            <w:t xml:space="preserve"> </w:t>
          </w:r>
          <w:r w:rsidR="00BA0E7F">
            <w:rPr>
              <w:rFonts w:eastAsiaTheme="minorHAnsi"/>
              <w:sz w:val="24"/>
              <w:szCs w:val="24"/>
            </w:rPr>
            <w:t>mandatory</w:t>
          </w:r>
          <w:r>
            <w:rPr>
              <w:rFonts w:eastAsiaTheme="minorHAnsi"/>
              <w:sz w:val="24"/>
              <w:szCs w:val="24"/>
            </w:rPr>
            <w:t xml:space="preserve"> </w:t>
          </w:r>
          <w:r w:rsidR="00BA0E7F">
            <w:rPr>
              <w:rFonts w:eastAsiaTheme="minorHAnsi"/>
              <w:sz w:val="24"/>
              <w:szCs w:val="24"/>
            </w:rPr>
            <w:t>funded</w:t>
          </w:r>
          <w:r>
            <w:rPr>
              <w:rFonts w:eastAsiaTheme="minorHAnsi"/>
              <w:sz w:val="24"/>
              <w:szCs w:val="24"/>
            </w:rPr>
            <w:t xml:space="preserve"> </w:t>
          </w:r>
          <w:r w:rsidR="00BA0E7F">
            <w:rPr>
              <w:rFonts w:eastAsiaTheme="minorHAnsi"/>
              <w:sz w:val="24"/>
              <w:szCs w:val="24"/>
            </w:rPr>
            <w:t>programs</w:t>
          </w:r>
          <w:r>
            <w:rPr>
              <w:rFonts w:eastAsiaTheme="minorHAnsi"/>
              <w:sz w:val="24"/>
              <w:szCs w:val="24"/>
            </w:rPr>
            <w:t xml:space="preserve"> in ED:</w:t>
          </w:r>
        </w:p>
        <w:p w:rsidR="001D0DF2" w:rsidRDefault="001D0DF2" w:rsidP="001D0DF2">
          <w:pPr>
            <w:pStyle w:val="ListParagraph"/>
            <w:numPr>
              <w:ilvl w:val="0"/>
              <w:numId w:val="6"/>
            </w:numPr>
            <w:spacing w:line="240" w:lineRule="auto"/>
            <w:rPr>
              <w:rFonts w:eastAsiaTheme="minorHAnsi"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>Preschool for All = $1.3 billion</w:t>
          </w:r>
        </w:p>
        <w:p w:rsidR="001D0DF2" w:rsidRDefault="001D0DF2" w:rsidP="001D0DF2">
          <w:pPr>
            <w:pStyle w:val="ListParagraph"/>
            <w:numPr>
              <w:ilvl w:val="0"/>
              <w:numId w:val="6"/>
            </w:numPr>
            <w:spacing w:line="240" w:lineRule="auto"/>
            <w:rPr>
              <w:rFonts w:eastAsiaTheme="minorHAnsi"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>Teaching for Tomorrow = $1.0 billion</w:t>
          </w:r>
        </w:p>
        <w:p w:rsidR="001D0DF2" w:rsidRDefault="00BA0E7F" w:rsidP="001D0DF2">
          <w:pPr>
            <w:pStyle w:val="ListParagraph"/>
            <w:numPr>
              <w:ilvl w:val="0"/>
              <w:numId w:val="6"/>
            </w:numPr>
            <w:spacing w:line="240" w:lineRule="auto"/>
            <w:rPr>
              <w:rFonts w:eastAsiaTheme="minorHAnsi"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>America’s</w:t>
          </w:r>
          <w:r w:rsidR="001D0DF2">
            <w:rPr>
              <w:rFonts w:eastAsiaTheme="minorHAnsi"/>
              <w:sz w:val="24"/>
              <w:szCs w:val="24"/>
            </w:rPr>
            <w:t xml:space="preserve"> College Promise = $1.365 billion</w:t>
          </w:r>
        </w:p>
        <w:p w:rsidR="0026321C" w:rsidRPr="0026321C" w:rsidRDefault="00BA0E7F" w:rsidP="00221FC1">
          <w:pPr>
            <w:pStyle w:val="ListParagraph"/>
            <w:numPr>
              <w:ilvl w:val="0"/>
              <w:numId w:val="6"/>
            </w:numPr>
            <w:spacing w:line="240" w:lineRule="auto"/>
            <w:rPr>
              <w:sz w:val="24"/>
              <w:szCs w:val="24"/>
            </w:rPr>
          </w:pPr>
          <w:r w:rsidRPr="00BA0E7F">
            <w:rPr>
              <w:rFonts w:eastAsiaTheme="minorHAnsi"/>
              <w:sz w:val="24"/>
              <w:szCs w:val="24"/>
            </w:rPr>
            <w:t>College</w:t>
          </w:r>
          <w:r w:rsidR="001D0DF2" w:rsidRPr="00BA0E7F">
            <w:rPr>
              <w:rFonts w:eastAsiaTheme="minorHAnsi"/>
              <w:sz w:val="24"/>
              <w:szCs w:val="24"/>
            </w:rPr>
            <w:t xml:space="preserve"> Opportunity and Graduation </w:t>
          </w:r>
          <w:r w:rsidRPr="00BA0E7F">
            <w:rPr>
              <w:rFonts w:eastAsiaTheme="minorHAnsi"/>
              <w:sz w:val="24"/>
              <w:szCs w:val="24"/>
            </w:rPr>
            <w:t>Bonus</w:t>
          </w:r>
          <w:r w:rsidR="001D0DF2" w:rsidRPr="00BA0E7F">
            <w:rPr>
              <w:rFonts w:eastAsiaTheme="minorHAnsi"/>
              <w:sz w:val="24"/>
              <w:szCs w:val="24"/>
            </w:rPr>
            <w:t xml:space="preserve"> = $647 million</w:t>
          </w:r>
        </w:p>
        <w:p w:rsidR="00862840" w:rsidRDefault="0026321C" w:rsidP="0026321C">
          <w:pPr>
            <w:spacing w:line="240" w:lineRule="auto"/>
            <w:rPr>
              <w:sz w:val="24"/>
              <w:szCs w:val="24"/>
              <w:lang w:bidi="en-US"/>
            </w:rPr>
          </w:pPr>
          <w:r>
            <w:rPr>
              <w:sz w:val="24"/>
              <w:szCs w:val="24"/>
              <w:lang w:bidi="en-US"/>
            </w:rPr>
            <w:lastRenderedPageBreak/>
            <w:t xml:space="preserve">The House bill </w:t>
          </w:r>
          <w:r w:rsidRPr="0026321C">
            <w:rPr>
              <w:sz w:val="24"/>
              <w:szCs w:val="24"/>
              <w:lang w:bidi="en-US"/>
            </w:rPr>
            <w:t>the bill cuts discretionary funding for ED by $2.77 billion or 4.1%. That is a bigger cut than the $2.27 billion cut that occurred from the FY 2013 sequester</w:t>
          </w:r>
          <w:r w:rsidR="00862840">
            <w:rPr>
              <w:sz w:val="24"/>
              <w:szCs w:val="24"/>
              <w:lang w:bidi="en-US"/>
            </w:rPr>
            <w:t>.</w:t>
          </w:r>
          <w:r w:rsidRPr="0026321C">
            <w:rPr>
              <w:sz w:val="24"/>
              <w:szCs w:val="24"/>
              <w:lang w:bidi="en-US"/>
            </w:rPr>
            <w:t xml:space="preserve"> Discretionary funding for ED would be below the FY 2011 level. Overall discretionary funding, excluding Pell grants, is cut by $2.4 billion (-5.4%).</w:t>
          </w:r>
          <w:r w:rsidR="00862840">
            <w:rPr>
              <w:sz w:val="24"/>
              <w:szCs w:val="24"/>
              <w:lang w:bidi="en-US"/>
            </w:rPr>
            <w:t xml:space="preserve"> </w:t>
          </w:r>
          <w:r w:rsidR="00862840" w:rsidRPr="00862840">
            <w:rPr>
              <w:sz w:val="24"/>
              <w:szCs w:val="24"/>
              <w:lang w:bidi="en-US"/>
            </w:rPr>
            <w:t>This total would be below the FY 2004 level</w:t>
          </w:r>
          <w:r w:rsidR="00862840">
            <w:rPr>
              <w:sz w:val="24"/>
              <w:szCs w:val="24"/>
              <w:lang w:bidi="en-US"/>
            </w:rPr>
            <w:t>.</w:t>
          </w:r>
        </w:p>
        <w:p w:rsidR="00862840" w:rsidRDefault="00862840" w:rsidP="0026321C">
          <w:pPr>
            <w:spacing w:line="240" w:lineRule="auto"/>
            <w:rPr>
              <w:sz w:val="24"/>
              <w:szCs w:val="24"/>
              <w:lang w:bidi="en-US"/>
            </w:rPr>
          </w:pPr>
          <w:r>
            <w:rPr>
              <w:sz w:val="24"/>
              <w:szCs w:val="24"/>
              <w:lang w:bidi="en-US"/>
            </w:rPr>
            <w:t xml:space="preserve">The Senate </w:t>
          </w:r>
          <w:r w:rsidRPr="00862840">
            <w:rPr>
              <w:sz w:val="24"/>
              <w:szCs w:val="24"/>
              <w:lang w:bidi="en-US"/>
            </w:rPr>
            <w:t>bill cuts discretionary funding for ED by $1.36 billion or 2.0%. Discretionary funding for ED would be below the FY 2011 level. Overall discretionary funding, excluding Pell grants, is also cut by $1.36 billion (-2.8%). This total would be below the FY 2004 leve</w:t>
          </w:r>
          <w:r>
            <w:rPr>
              <w:sz w:val="24"/>
              <w:szCs w:val="24"/>
              <w:lang w:bidi="en-US"/>
            </w:rPr>
            <w:t>l.</w:t>
          </w:r>
        </w:p>
        <w:p w:rsidR="00ED302A" w:rsidRPr="0026321C" w:rsidRDefault="006476C8" w:rsidP="0026321C">
          <w:pPr>
            <w:spacing w:line="240" w:lineRule="auto"/>
            <w:rPr>
              <w:sz w:val="24"/>
              <w:szCs w:val="24"/>
            </w:rPr>
          </w:pPr>
          <w:r w:rsidRPr="0026321C">
            <w:rPr>
              <w:sz w:val="24"/>
              <w:szCs w:val="24"/>
              <w:lang w:bidi="en-US"/>
            </w:rPr>
            <w:br/>
          </w:r>
        </w:p>
        <w:p w:rsidR="0096688F" w:rsidRPr="002B775D" w:rsidRDefault="00B52D2F" w:rsidP="002B775D">
          <w:pPr>
            <w:spacing w:line="240" w:lineRule="auto"/>
            <w:rPr>
              <w:rFonts w:eastAsiaTheme="minorHAnsi"/>
              <w:b/>
              <w:sz w:val="24"/>
              <w:szCs w:val="24"/>
            </w:rPr>
          </w:pPr>
          <w:r>
            <w:rPr>
              <w:noProof/>
            </w:rPr>
            <w:lastRenderedPageBreak/>
            <w:drawing>
              <wp:inline distT="0" distB="0" distL="0" distR="0" wp14:anchorId="526FC30C" wp14:editId="57123011">
                <wp:extent cx="8058149" cy="5867400"/>
                <wp:effectExtent l="0" t="0" r="635" b="0"/>
                <wp:docPr id="55" name="Chart 55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9"/>
                  </a:graphicData>
                </a:graphic>
              </wp:inline>
            </w:drawing>
          </w:r>
        </w:p>
        <w:p w:rsidR="00D04DF1" w:rsidRDefault="002736E4">
          <w:r>
            <w:br w:type="page"/>
          </w:r>
          <w:r w:rsidRPr="002736E4">
            <w:rPr>
              <w:noProof/>
            </w:rPr>
            <w:lastRenderedPageBreak/>
            <w:drawing>
              <wp:inline distT="0" distB="0" distL="0" distR="0" wp14:anchorId="1A7CFCB3" wp14:editId="47F71EA4">
                <wp:extent cx="8321040" cy="5577592"/>
                <wp:effectExtent l="0" t="0" r="3810" b="4445"/>
                <wp:docPr id="47" name="Chart 10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0"/>
                  </a:graphicData>
                </a:graphic>
              </wp:inline>
            </w:drawing>
          </w:r>
        </w:p>
      </w:sdtContent>
    </w:sdt>
    <w:p w:rsidR="008E368C" w:rsidRDefault="00A6753C">
      <w:r w:rsidRPr="00A6753C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30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1D00" w:rsidRDefault="00A84C12">
      <w:r w:rsidRPr="00A84C12">
        <w:rPr>
          <w:noProof/>
          <w:color w:val="FF0000"/>
        </w:rPr>
        <w:lastRenderedPageBreak/>
        <w:drawing>
          <wp:inline distT="0" distB="0" distL="0" distR="0">
            <wp:extent cx="8321040" cy="55778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5335" w:rsidRDefault="00561D00">
      <w:r>
        <w:br w:type="page"/>
      </w:r>
      <w:r w:rsidR="001A0C64" w:rsidRPr="001A0C64">
        <w:rPr>
          <w:noProof/>
        </w:rPr>
        <w:lastRenderedPageBreak/>
        <w:drawing>
          <wp:inline distT="0" distB="0" distL="0" distR="0" wp14:anchorId="214EAAB7" wp14:editId="61F7EACC">
            <wp:extent cx="8321040" cy="5579553"/>
            <wp:effectExtent l="0" t="0" r="3810" b="254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5335" w:rsidRDefault="00814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5718976</wp:posOffset>
                </wp:positionV>
                <wp:extent cx="7824470" cy="628153"/>
                <wp:effectExtent l="0" t="0" r="24130" b="19685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4470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00" w:rsidRDefault="00F37614" w:rsidP="00BF6100">
                            <w:r>
                              <w:t xml:space="preserve">The FY </w:t>
                            </w:r>
                            <w:r w:rsidR="006121AF">
                              <w:t>20</w:t>
                            </w:r>
                            <w:r>
                              <w:t>12</w:t>
                            </w:r>
                            <w:r w:rsidR="006121AF">
                              <w:t>-</w:t>
                            </w:r>
                            <w:r w:rsidR="001902F6">
                              <w:t xml:space="preserve"> FY </w:t>
                            </w:r>
                            <w:r w:rsidR="006121AF">
                              <w:t>20</w:t>
                            </w:r>
                            <w:r w:rsidR="001902F6">
                              <w:t>15</w:t>
                            </w:r>
                            <w:r w:rsidR="007E5EF2">
                              <w:t xml:space="preserve"> </w:t>
                            </w:r>
                            <w:r>
                              <w:t xml:space="preserve">appropriations included funds (FY </w:t>
                            </w:r>
                            <w:r w:rsidR="006121AF">
                              <w:t>20</w:t>
                            </w:r>
                            <w:r>
                              <w:t xml:space="preserve">12 = $28.6 million, FY </w:t>
                            </w:r>
                            <w:r w:rsidR="006121AF">
                              <w:t>20</w:t>
                            </w:r>
                            <w:r>
                              <w:t>13 = $27.1 million</w:t>
                            </w:r>
                            <w:r w:rsidR="007E5EF2">
                              <w:t xml:space="preserve">, FY </w:t>
                            </w:r>
                            <w:r w:rsidR="006121AF">
                              <w:t>20</w:t>
                            </w:r>
                            <w:r w:rsidR="007E5EF2">
                              <w:t>14 = $25.0 million</w:t>
                            </w:r>
                            <w:r w:rsidR="001902F6">
                              <w:t xml:space="preserve">, FY </w:t>
                            </w:r>
                            <w:r w:rsidR="006121AF">
                              <w:t>20</w:t>
                            </w:r>
                            <w:r w:rsidR="001902F6">
                              <w:t>15 = $25.0 million</w:t>
                            </w:r>
                            <w:r>
                              <w:t xml:space="preserve">) within the Fund for the Improvement of Education for a literacy initiative with no less than 50% available for school libraries.  </w:t>
                            </w:r>
                            <w:r w:rsidR="0089331C">
                              <w:t>The Senate bill maintains those funds.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450.3pt;width:616.1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">
                <v:textbox>
                  <w:txbxContent>
                    <w:p w:rsidR="00BF6100" w:rsidRDefault="00F37614" w:rsidP="00BF6100">
                      <w:r>
                        <w:t xml:space="preserve">The FY </w:t>
                      </w:r>
                      <w:r w:rsidR="006121AF">
                        <w:t>20</w:t>
                      </w:r>
                      <w:r>
                        <w:t>12</w:t>
                      </w:r>
                      <w:r w:rsidR="006121AF">
                        <w:t>-</w:t>
                      </w:r>
                      <w:r w:rsidR="001902F6">
                        <w:t xml:space="preserve"> FY </w:t>
                      </w:r>
                      <w:r w:rsidR="006121AF">
                        <w:t>20</w:t>
                      </w:r>
                      <w:r w:rsidR="001902F6">
                        <w:t>15</w:t>
                      </w:r>
                      <w:r w:rsidR="007E5EF2">
                        <w:t xml:space="preserve"> </w:t>
                      </w:r>
                      <w:r>
                        <w:t xml:space="preserve">appropriations included funds (FY </w:t>
                      </w:r>
                      <w:r w:rsidR="006121AF">
                        <w:t>20</w:t>
                      </w:r>
                      <w:r>
                        <w:t xml:space="preserve">12 = $28.6 million, FY </w:t>
                      </w:r>
                      <w:r w:rsidR="006121AF">
                        <w:t>20</w:t>
                      </w:r>
                      <w:r>
                        <w:t>13 = $27.1 million</w:t>
                      </w:r>
                      <w:r w:rsidR="007E5EF2">
                        <w:t xml:space="preserve">, FY </w:t>
                      </w:r>
                      <w:r w:rsidR="006121AF">
                        <w:t>20</w:t>
                      </w:r>
                      <w:r w:rsidR="007E5EF2">
                        <w:t>14 = $25.0 million</w:t>
                      </w:r>
                      <w:r w:rsidR="001902F6">
                        <w:t xml:space="preserve">, FY </w:t>
                      </w:r>
                      <w:r w:rsidR="006121AF">
                        <w:t>20</w:t>
                      </w:r>
                      <w:r w:rsidR="001902F6">
                        <w:t>15 = $25.0 million</w:t>
                      </w:r>
                      <w:r>
                        <w:t xml:space="preserve">) within the Fund for the Improvement of Education for a literacy initiative with no less than 50% available for school libraries.  </w:t>
                      </w:r>
                      <w:r w:rsidR="0089331C">
                        <w:t>The Senate bill maintains those funds.</w:t>
                      </w:r>
                    </w:p>
                  </w:txbxContent>
                </v:textbox>
              </v:shape>
            </w:pict>
          </mc:Fallback>
        </mc:AlternateContent>
      </w:r>
      <w:r w:rsidR="00465335" w:rsidRPr="0089331C">
        <w:rPr>
          <w:b/>
          <w:noProof/>
        </w:rPr>
        <w:drawing>
          <wp:inline distT="0" distB="0" distL="0" distR="0">
            <wp:extent cx="8321040" cy="5578283"/>
            <wp:effectExtent l="0" t="0" r="3810" b="3810"/>
            <wp:docPr id="3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2426" w:rsidRDefault="0086325B">
      <w:r w:rsidRPr="00465335">
        <w:rPr>
          <w:noProof/>
        </w:rPr>
        <w:lastRenderedPageBreak/>
        <w:drawing>
          <wp:inline distT="0" distB="0" distL="0" distR="0" wp14:anchorId="3B1DF6EC" wp14:editId="07969E58">
            <wp:extent cx="8229600" cy="5577840"/>
            <wp:effectExtent l="0" t="0" r="0" b="3810"/>
            <wp:docPr id="3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6102" w:rsidRDefault="007A5649" w:rsidP="00AF07D2">
      <w:r w:rsidRPr="007A5649">
        <w:rPr>
          <w:noProof/>
        </w:rPr>
        <w:lastRenderedPageBreak/>
        <w:drawing>
          <wp:inline distT="0" distB="0" distL="0" distR="0" wp14:anchorId="7172FBB3" wp14:editId="632F024E">
            <wp:extent cx="8321040" cy="5577840"/>
            <wp:effectExtent l="0" t="0" r="3810" b="381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6102" w:rsidRDefault="00AF07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margin">
                  <wp:posOffset>3720465</wp:posOffset>
                </wp:positionH>
                <wp:positionV relativeFrom="paragraph">
                  <wp:posOffset>315595</wp:posOffset>
                </wp:positionV>
                <wp:extent cx="812800" cy="236855"/>
                <wp:effectExtent l="0" t="0" r="6350" b="0"/>
                <wp:wrapThrough wrapText="bothSides">
                  <wp:wrapPolygon edited="0">
                    <wp:start x="0" y="0"/>
                    <wp:lineTo x="0" y="19110"/>
                    <wp:lineTo x="21263" y="19110"/>
                    <wp:lineTo x="21263" y="0"/>
                    <wp:lineTo x="0" y="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7D2" w:rsidRDefault="00AB2C05">
                            <w:r>
                              <w:t>In</w:t>
                            </w:r>
                            <w:r w:rsidR="00AF07D2">
                              <w:t xml:space="preserve"> 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2.95pt;margin-top:24.85pt;width:64pt;height:18.6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oyIQIAACI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" stroked="f">
                <v:textbox>
                  <w:txbxContent>
                    <w:p w:rsidR="00AF07D2" w:rsidRDefault="00AB2C05">
                      <w:r>
                        <w:t>In</w:t>
                      </w:r>
                      <w:r w:rsidR="00AF07D2">
                        <w:t xml:space="preserve"> millions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F6102">
        <w:br w:type="page"/>
      </w:r>
      <w:r w:rsidR="009A373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A0E1E1D" wp14:editId="6AA62316">
                <wp:simplePos x="0" y="0"/>
                <wp:positionH relativeFrom="margin">
                  <wp:align>center</wp:align>
                </wp:positionH>
                <wp:positionV relativeFrom="paragraph">
                  <wp:posOffset>374862</wp:posOffset>
                </wp:positionV>
                <wp:extent cx="854710" cy="245110"/>
                <wp:effectExtent l="0" t="0" r="2159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36" w:rsidRDefault="009A3736">
                            <w:r>
                              <w:t>In 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1E1D" id="_x0000_s1028" type="#_x0000_t202" style="position:absolute;margin-left:0;margin-top:29.5pt;width:67.3pt;height:19.3pt;z-index:-251634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">
                <v:textbox>
                  <w:txbxContent>
                    <w:p w:rsidR="009A3736" w:rsidRDefault="009A3736">
                      <w:r>
                        <w:t>In millions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9B7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321040" cy="5577840"/>
            <wp:effectExtent l="0" t="0" r="3810" b="3810"/>
            <wp:wrapNone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287081" w:rsidRDefault="00E86C3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2131" w:rsidRDefault="00CD345A">
      <w:r w:rsidRPr="00CD345A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2131" w:rsidRDefault="00814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5425439</wp:posOffset>
                </wp:positionV>
                <wp:extent cx="7863840" cy="600075"/>
                <wp:effectExtent l="0" t="0" r="22860" b="28575"/>
                <wp:wrapNone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0A" w:rsidRDefault="002F7FED" w:rsidP="008801F1">
                            <w:pPr>
                              <w:spacing w:line="240" w:lineRule="auto"/>
                            </w:pPr>
                            <w:r>
                              <w:t xml:space="preserve">In FY </w:t>
                            </w:r>
                            <w:r w:rsidR="006121AF">
                              <w:t>20</w:t>
                            </w:r>
                            <w:r>
                              <w:t xml:space="preserve">12 and FY </w:t>
                            </w:r>
                            <w:r w:rsidR="006121AF">
                              <w:t>20</w:t>
                            </w:r>
                            <w:r>
                              <w:t xml:space="preserve">13 </w:t>
                            </w:r>
                            <w:r w:rsidR="008801F1">
                              <w:t>u</w:t>
                            </w:r>
                            <w:r>
                              <w:t>p to 1.5% was set-aside for a national competitive grant program for educator professional development (SEED).</w:t>
                            </w:r>
                            <w:r w:rsidR="007E5EF2">
                              <w:t xml:space="preserve"> In FY </w:t>
                            </w:r>
                            <w:r w:rsidR="006121AF">
                              <w:t>20</w:t>
                            </w:r>
                            <w:r w:rsidR="007E5EF2">
                              <w:t xml:space="preserve">14, the set-aside </w:t>
                            </w:r>
                            <w:r w:rsidR="00647942">
                              <w:t>was</w:t>
                            </w:r>
                            <w:r w:rsidR="007E5EF2">
                              <w:t xml:space="preserve"> </w:t>
                            </w:r>
                            <w:r w:rsidR="00647942">
                              <w:t xml:space="preserve">increased to </w:t>
                            </w:r>
                            <w:r w:rsidR="007E5EF2">
                              <w:t>2.0%.</w:t>
                            </w:r>
                            <w:r w:rsidR="00647942">
                              <w:t xml:space="preserve"> In FY </w:t>
                            </w:r>
                            <w:r w:rsidR="006121AF">
                              <w:t>20</w:t>
                            </w:r>
                            <w:r w:rsidR="00647942">
                              <w:t xml:space="preserve">15, it was increased to 2.3% and broadened to include </w:t>
                            </w:r>
                            <w:r w:rsidR="006121AF">
                              <w:t>civic educatio</w:t>
                            </w:r>
                            <w:r w:rsidR="00647942" w:rsidRPr="00647942">
                              <w:t>n</w:t>
                            </w:r>
                            <w:r w:rsidR="00647942">
                              <w:t>.</w:t>
                            </w:r>
                            <w:r w:rsidR="00037729">
                              <w:t xml:space="preserve"> The House bill increases the set-aside to 3.2%, while the Senate increases it to 5%.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.5pt;margin-top:427.2pt;width:619.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">
                <v:textbox>
                  <w:txbxContent>
                    <w:p w:rsidR="00B5040A" w:rsidRDefault="002F7FED" w:rsidP="008801F1">
                      <w:pPr>
                        <w:spacing w:line="240" w:lineRule="auto"/>
                      </w:pPr>
                      <w:r>
                        <w:t xml:space="preserve">In FY </w:t>
                      </w:r>
                      <w:r w:rsidR="006121AF">
                        <w:t>20</w:t>
                      </w:r>
                      <w:r>
                        <w:t xml:space="preserve">12 and FY </w:t>
                      </w:r>
                      <w:r w:rsidR="006121AF">
                        <w:t>20</w:t>
                      </w:r>
                      <w:r>
                        <w:t xml:space="preserve">13 </w:t>
                      </w:r>
                      <w:r w:rsidR="008801F1">
                        <w:t>u</w:t>
                      </w:r>
                      <w:r>
                        <w:t>p to 1.5% was set-aside for a national competitive grant program for educator professional development (SEED).</w:t>
                      </w:r>
                      <w:r w:rsidR="007E5EF2">
                        <w:t xml:space="preserve"> In FY </w:t>
                      </w:r>
                      <w:r w:rsidR="006121AF">
                        <w:t>20</w:t>
                      </w:r>
                      <w:r w:rsidR="007E5EF2">
                        <w:t xml:space="preserve">14, the set-aside </w:t>
                      </w:r>
                      <w:r w:rsidR="00647942">
                        <w:t>was</w:t>
                      </w:r>
                      <w:r w:rsidR="007E5EF2">
                        <w:t xml:space="preserve"> </w:t>
                      </w:r>
                      <w:r w:rsidR="00647942">
                        <w:t xml:space="preserve">increased to </w:t>
                      </w:r>
                      <w:r w:rsidR="007E5EF2">
                        <w:t>2.0%.</w:t>
                      </w:r>
                      <w:r w:rsidR="00647942">
                        <w:t xml:space="preserve"> In FY </w:t>
                      </w:r>
                      <w:r w:rsidR="006121AF">
                        <w:t>20</w:t>
                      </w:r>
                      <w:r w:rsidR="00647942">
                        <w:t xml:space="preserve">15, it was increased to 2.3% and broadened to include </w:t>
                      </w:r>
                      <w:r w:rsidR="006121AF">
                        <w:t>civic educatio</w:t>
                      </w:r>
                      <w:r w:rsidR="00647942" w:rsidRPr="00647942">
                        <w:t>n</w:t>
                      </w:r>
                      <w:r w:rsidR="00647942">
                        <w:t>.</w:t>
                      </w:r>
                      <w:r w:rsidR="00037729">
                        <w:t xml:space="preserve"> The House bill increases the set-aside to 3.2%, while the Senate increases it to 5%. </w:t>
                      </w:r>
                    </w:p>
                  </w:txbxContent>
                </v:textbox>
              </v:shape>
            </w:pict>
          </mc:Fallback>
        </mc:AlternateContent>
      </w:r>
      <w:r w:rsidR="003E3E4F" w:rsidRPr="003E3E4F">
        <w:rPr>
          <w:noProof/>
        </w:rPr>
        <w:drawing>
          <wp:inline distT="0" distB="0" distL="0" distR="0">
            <wp:extent cx="8324850" cy="5276850"/>
            <wp:effectExtent l="0" t="0" r="0" b="0"/>
            <wp:docPr id="1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2663E" w:rsidRDefault="00180318">
      <w:r w:rsidRPr="00180318">
        <w:rPr>
          <w:noProof/>
        </w:rPr>
        <w:lastRenderedPageBreak/>
        <w:drawing>
          <wp:inline distT="0" distB="0" distL="0" distR="0" wp14:anchorId="0303B0B5" wp14:editId="3F9EC301">
            <wp:extent cx="8321040" cy="5577840"/>
            <wp:effectExtent l="0" t="0" r="3810" b="381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2663E" w:rsidRDefault="00D2663E">
      <w:r>
        <w:br w:type="page"/>
      </w:r>
      <w:r w:rsidR="00E327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64A182" wp14:editId="6E94C51A">
                <wp:simplePos x="0" y="0"/>
                <wp:positionH relativeFrom="column">
                  <wp:posOffset>66675</wp:posOffset>
                </wp:positionH>
                <wp:positionV relativeFrom="paragraph">
                  <wp:posOffset>5724525</wp:posOffset>
                </wp:positionV>
                <wp:extent cx="7863840" cy="314325"/>
                <wp:effectExtent l="0" t="0" r="22860" b="2857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7A5" w:rsidRDefault="00E327A5" w:rsidP="00E327A5">
                            <w:pPr>
                              <w:spacing w:line="240" w:lineRule="auto"/>
                            </w:pPr>
                            <w:r>
                              <w:t>The President’s Budget proposes to replace the Teacher Incentive Fund with a new program</w:t>
                            </w:r>
                            <w:r w:rsidR="00297F03">
                              <w:t>,</w:t>
                            </w:r>
                            <w:r>
                              <w:t xml:space="preserve"> </w:t>
                            </w:r>
                            <w:r w:rsidR="00297F03">
                              <w:t>“</w:t>
                            </w:r>
                            <w:r>
                              <w:t>Excellent Educator Grants</w:t>
                            </w:r>
                            <w:r w:rsidR="00297F03"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A182" id="_x0000_s1030" type="#_x0000_t202" style="position:absolute;margin-left:5.25pt;margin-top:450.75pt;width:619.2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">
                <v:textbox>
                  <w:txbxContent>
                    <w:p w:rsidR="00E327A5" w:rsidRDefault="00E327A5" w:rsidP="00E327A5">
                      <w:pPr>
                        <w:spacing w:line="240" w:lineRule="auto"/>
                      </w:pPr>
                      <w:r>
                        <w:t>The President’s Budget proposes to replace the Teacher Incentive Fund with a new program</w:t>
                      </w:r>
                      <w:r w:rsidR="00297F03">
                        <w:t>,</w:t>
                      </w:r>
                      <w:r>
                        <w:t xml:space="preserve"> </w:t>
                      </w:r>
                      <w:r w:rsidR="00297F03">
                        <w:t>“</w:t>
                      </w:r>
                      <w:r>
                        <w:t>Excellent Educator Grants</w:t>
                      </w:r>
                      <w:r w:rsidR="00297F03"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Pr="00D2663E">
        <w:rPr>
          <w:noProof/>
        </w:rPr>
        <w:drawing>
          <wp:inline distT="0" distB="0" distL="0" distR="0" wp14:anchorId="2C0C1113" wp14:editId="65F7D40D">
            <wp:extent cx="8321040" cy="5449824"/>
            <wp:effectExtent l="0" t="0" r="3810" b="17780"/>
            <wp:docPr id="42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327A5" w:rsidRDefault="00D2663E">
      <w:r>
        <w:br w:type="page"/>
      </w:r>
      <w:r w:rsidR="00E327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0ED2B7" wp14:editId="27B6B5C9">
                <wp:simplePos x="0" y="0"/>
                <wp:positionH relativeFrom="column">
                  <wp:posOffset>0</wp:posOffset>
                </wp:positionH>
                <wp:positionV relativeFrom="paragraph">
                  <wp:posOffset>5610225</wp:posOffset>
                </wp:positionV>
                <wp:extent cx="8229600" cy="447675"/>
                <wp:effectExtent l="0" t="0" r="19050" b="28575"/>
                <wp:wrapNone/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7A5" w:rsidRDefault="00E327A5">
                            <w:r>
                              <w:t>The President’s Budget proposes to consolidate School Leadership into a new program</w:t>
                            </w:r>
                            <w:r w:rsidR="00297F03">
                              <w:t>,</w:t>
                            </w:r>
                            <w:r>
                              <w:t xml:space="preserve"> “Teacher and Principals Pathways”</w:t>
                            </w:r>
                            <w:r w:rsidR="00297F03">
                              <w:t>,</w:t>
                            </w:r>
                            <w:r>
                              <w:t xml:space="preserve"> funded at $138.8 million.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D2B7" id="_x0000_s1031" type="#_x0000_t202" style="position:absolute;margin-left:0;margin-top:441.75pt;width:9in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JALAIAAFg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">
                <v:textbox>
                  <w:txbxContent>
                    <w:p w:rsidR="00E327A5" w:rsidRDefault="00E327A5">
                      <w:r>
                        <w:t>The President’s Budget proposes to consolidate School Leadership into a new program</w:t>
                      </w:r>
                      <w:r w:rsidR="00297F03">
                        <w:t>,</w:t>
                      </w:r>
                      <w:r>
                        <w:t xml:space="preserve"> “Teacher and Principals Pathways”</w:t>
                      </w:r>
                      <w:r w:rsidR="00297F03">
                        <w:t>,</w:t>
                      </w:r>
                      <w:r>
                        <w:t xml:space="preserve"> funded at $138.8 million.</w:t>
                      </w:r>
                    </w:p>
                  </w:txbxContent>
                </v:textbox>
              </v:shape>
            </w:pict>
          </mc:Fallback>
        </mc:AlternateContent>
      </w:r>
      <w:r w:rsidRPr="00D2663E">
        <w:rPr>
          <w:noProof/>
        </w:rPr>
        <w:drawing>
          <wp:inline distT="0" distB="0" distL="0" distR="0" wp14:anchorId="18C4C288" wp14:editId="4F679BC5">
            <wp:extent cx="8317865" cy="5486400"/>
            <wp:effectExtent l="0" t="0" r="6985" b="0"/>
            <wp:docPr id="4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663E" w:rsidRPr="00E327A5" w:rsidRDefault="00E327A5" w:rsidP="00E327A5">
      <w:pPr>
        <w:tabs>
          <w:tab w:val="left" w:pos="1860"/>
        </w:tabs>
      </w:pPr>
      <w:r>
        <w:tab/>
      </w:r>
    </w:p>
    <w:p w:rsidR="009B7A35" w:rsidRDefault="00411167">
      <w:r w:rsidRPr="00411167">
        <w:rPr>
          <w:noProof/>
        </w:rPr>
        <w:lastRenderedPageBreak/>
        <w:drawing>
          <wp:inline distT="0" distB="0" distL="0" distR="0" wp14:anchorId="4457BC40" wp14:editId="74DDCCBF">
            <wp:extent cx="8321040" cy="5448300"/>
            <wp:effectExtent l="0" t="0" r="3810" b="0"/>
            <wp:docPr id="25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B7A35" w:rsidRDefault="00A6717C">
      <w:r w:rsidRPr="00A6717C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26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B7A35" w:rsidRDefault="003C7B2C">
      <w:r w:rsidRPr="003C7B2C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27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54DB0" w:rsidRDefault="00D643B8">
      <w:r w:rsidRPr="001B7A2B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28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54DB0" w:rsidRDefault="00254DB0">
      <w:r>
        <w:br w:type="page"/>
      </w:r>
      <w:r w:rsidRPr="00254DB0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4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5335D" w:rsidRDefault="00511F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7F16C" wp14:editId="23556FA3">
                <wp:simplePos x="0" y="0"/>
                <wp:positionH relativeFrom="column">
                  <wp:posOffset>15903</wp:posOffset>
                </wp:positionH>
                <wp:positionV relativeFrom="paragraph">
                  <wp:posOffset>5734878</wp:posOffset>
                </wp:positionV>
                <wp:extent cx="7515225" cy="659959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59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BF" w:rsidRDefault="00511FBF">
                            <w:r>
                              <w:t xml:space="preserve">The FY </w:t>
                            </w:r>
                            <w:r w:rsidR="00297F03">
                              <w:t>20</w:t>
                            </w:r>
                            <w:r>
                              <w:t xml:space="preserve">14 </w:t>
                            </w:r>
                            <w:r w:rsidR="004D2598">
                              <w:t>Omnibus</w:t>
                            </w:r>
                            <w:r>
                              <w:t xml:space="preserve"> </w:t>
                            </w:r>
                            <w:r w:rsidR="000841AC">
                              <w:t>provided</w:t>
                            </w:r>
                            <w:r w:rsidR="00B07749">
                              <w:t xml:space="preserve"> </w:t>
                            </w:r>
                            <w:r>
                              <w:t>$</w:t>
                            </w:r>
                            <w:r w:rsidR="00B07749">
                              <w:t>250</w:t>
                            </w:r>
                            <w:r>
                              <w:t xml:space="preserve"> </w:t>
                            </w:r>
                            <w:r w:rsidR="00B07749">
                              <w:t>m</w:t>
                            </w:r>
                            <w:r>
                              <w:t xml:space="preserve">illion </w:t>
                            </w:r>
                            <w:r w:rsidR="00AD03DC">
                              <w:t xml:space="preserve">under Race To The Top </w:t>
                            </w:r>
                            <w:r>
                              <w:t xml:space="preserve">for </w:t>
                            </w:r>
                            <w:r w:rsidR="000841AC">
                              <w:t>P</w:t>
                            </w:r>
                            <w:r w:rsidR="00AD03DC">
                              <w:t>reschool Development Grants</w:t>
                            </w:r>
                            <w:r w:rsidR="008801F1">
                              <w:t>.</w:t>
                            </w:r>
                            <w:r w:rsidR="00AD03DC">
                              <w:t xml:space="preserve"> See next chart.  </w:t>
                            </w:r>
                            <w:r w:rsidR="006F62EE">
                              <w:t xml:space="preserve">The FY </w:t>
                            </w:r>
                            <w:r w:rsidR="00297F03">
                              <w:t>20</w:t>
                            </w:r>
                            <w:r w:rsidR="006F62EE">
                              <w:t>15 CRomnibus continued $250 million in funding for Preschool Development Grants as a separate program under the Fund for the improvement of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F16C" id="_x0000_s1032" type="#_x0000_t202" style="position:absolute;margin-left:1.25pt;margin-top:451.55pt;width:591.75pt;height:5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">
                <v:textbox>
                  <w:txbxContent>
                    <w:p w:rsidR="00511FBF" w:rsidRDefault="00511FBF">
                      <w:r>
                        <w:t xml:space="preserve">The FY </w:t>
                      </w:r>
                      <w:r w:rsidR="00297F03">
                        <w:t>20</w:t>
                      </w:r>
                      <w:r>
                        <w:t xml:space="preserve">14 </w:t>
                      </w:r>
                      <w:r w:rsidR="004D2598">
                        <w:t>Omnibus</w:t>
                      </w:r>
                      <w:r>
                        <w:t xml:space="preserve"> </w:t>
                      </w:r>
                      <w:r w:rsidR="000841AC">
                        <w:t>provided</w:t>
                      </w:r>
                      <w:r w:rsidR="00B07749">
                        <w:t xml:space="preserve"> </w:t>
                      </w:r>
                      <w:r>
                        <w:t>$</w:t>
                      </w:r>
                      <w:r w:rsidR="00B07749">
                        <w:t>250</w:t>
                      </w:r>
                      <w:r>
                        <w:t xml:space="preserve"> </w:t>
                      </w:r>
                      <w:r w:rsidR="00B07749">
                        <w:t>m</w:t>
                      </w:r>
                      <w:r>
                        <w:t xml:space="preserve">illion </w:t>
                      </w:r>
                      <w:r w:rsidR="00AD03DC">
                        <w:t xml:space="preserve">under Race </w:t>
                      </w:r>
                      <w:proofErr w:type="gramStart"/>
                      <w:r w:rsidR="00AD03DC">
                        <w:t>To The</w:t>
                      </w:r>
                      <w:proofErr w:type="gramEnd"/>
                      <w:r w:rsidR="00AD03DC">
                        <w:t xml:space="preserve"> Top </w:t>
                      </w:r>
                      <w:r>
                        <w:t xml:space="preserve">for </w:t>
                      </w:r>
                      <w:r w:rsidR="000841AC">
                        <w:t>P</w:t>
                      </w:r>
                      <w:r w:rsidR="00AD03DC">
                        <w:t>reschool Development Grants</w:t>
                      </w:r>
                      <w:r w:rsidR="008801F1">
                        <w:t>.</w:t>
                      </w:r>
                      <w:r w:rsidR="00AD03DC">
                        <w:t xml:space="preserve"> See next chart.  </w:t>
                      </w:r>
                      <w:r w:rsidR="006F62EE">
                        <w:t xml:space="preserve">The FY </w:t>
                      </w:r>
                      <w:r w:rsidR="00297F03">
                        <w:t>20</w:t>
                      </w:r>
                      <w:r w:rsidR="006F62EE">
                        <w:t>15 CRomnibus continued $250 million in funding for Preschool Development Grants as a separate program under the Fund for the improvement of Education.</w:t>
                      </w:r>
                    </w:p>
                  </w:txbxContent>
                </v:textbox>
              </v:shape>
            </w:pict>
          </mc:Fallback>
        </mc:AlternateContent>
      </w:r>
      <w:r w:rsidR="00D04DF1" w:rsidRPr="00D04DF1">
        <w:rPr>
          <w:noProof/>
        </w:rPr>
        <w:drawing>
          <wp:inline distT="0" distB="0" distL="0" distR="0">
            <wp:extent cx="8321040" cy="5577840"/>
            <wp:effectExtent l="0" t="0" r="3810" b="3810"/>
            <wp:docPr id="2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5335D" w:rsidRDefault="0035335D">
      <w:r>
        <w:br w:type="page"/>
      </w:r>
      <w:r w:rsidR="000841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E87DD8" wp14:editId="0530861D">
                <wp:simplePos x="0" y="0"/>
                <wp:positionH relativeFrom="column">
                  <wp:posOffset>0</wp:posOffset>
                </wp:positionH>
                <wp:positionV relativeFrom="paragraph">
                  <wp:posOffset>5772150</wp:posOffset>
                </wp:positionV>
                <wp:extent cx="7515225" cy="1403985"/>
                <wp:effectExtent l="0" t="0" r="28575" b="1460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1AC" w:rsidRDefault="000841AC" w:rsidP="000841AC">
                            <w:r>
                              <w:t xml:space="preserve">The FY </w:t>
                            </w:r>
                            <w:r w:rsidR="00297F03">
                              <w:t>20</w:t>
                            </w:r>
                            <w:r>
                              <w:t xml:space="preserve">14 funds were provided under Race To The Top.  </w:t>
                            </w:r>
                            <w:r w:rsidR="00B60998">
                              <w:t xml:space="preserve">FY </w:t>
                            </w:r>
                            <w:r w:rsidR="00297F03">
                              <w:t>20</w:t>
                            </w:r>
                            <w:r w:rsidR="00B60998">
                              <w:t xml:space="preserve">15 funds were provided under the Fund for the Improvement of Education.  The FY </w:t>
                            </w:r>
                            <w:r w:rsidR="00297F03">
                              <w:t>20</w:t>
                            </w:r>
                            <w:r w:rsidR="00B60998">
                              <w:t xml:space="preserve">16 Budget proposes to fund PSDG as a </w:t>
                            </w:r>
                            <w:r w:rsidR="008655A8">
                              <w:t>separately</w:t>
                            </w:r>
                            <w:r w:rsidR="00B60998">
                              <w:t xml:space="preserve"> authorized program.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87DD8" id="_x0000_s1033" type="#_x0000_t202" style="position:absolute;margin-left:0;margin-top:454.5pt;width:591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">
                <v:textbox style="mso-fit-shape-to-text:t">
                  <w:txbxContent>
                    <w:p w:rsidR="000841AC" w:rsidRDefault="000841AC" w:rsidP="000841AC">
                      <w:r>
                        <w:t xml:space="preserve">The FY </w:t>
                      </w:r>
                      <w:r w:rsidR="00297F03">
                        <w:t>20</w:t>
                      </w:r>
                      <w:r>
                        <w:t xml:space="preserve">14 funds were provided under Race </w:t>
                      </w:r>
                      <w:proofErr w:type="gramStart"/>
                      <w:r>
                        <w:t>To The</w:t>
                      </w:r>
                      <w:proofErr w:type="gramEnd"/>
                      <w:r>
                        <w:t xml:space="preserve"> Top.  </w:t>
                      </w:r>
                      <w:r w:rsidR="00B60998">
                        <w:t xml:space="preserve">FY </w:t>
                      </w:r>
                      <w:r w:rsidR="00297F03">
                        <w:t>20</w:t>
                      </w:r>
                      <w:r w:rsidR="00B60998">
                        <w:t xml:space="preserve">15 funds were provided under the Fund for the Improvement of Education.  The FY </w:t>
                      </w:r>
                      <w:r w:rsidR="00297F03">
                        <w:t>20</w:t>
                      </w:r>
                      <w:r w:rsidR="00B60998">
                        <w:t xml:space="preserve">16 Budget proposes to fund </w:t>
                      </w:r>
                      <w:proofErr w:type="spellStart"/>
                      <w:r w:rsidR="00B60998">
                        <w:t>PSDG</w:t>
                      </w:r>
                      <w:proofErr w:type="spellEnd"/>
                      <w:r w:rsidR="00B60998">
                        <w:t xml:space="preserve"> as a </w:t>
                      </w:r>
                      <w:r w:rsidR="008655A8">
                        <w:t>separately</w:t>
                      </w:r>
                      <w:r w:rsidR="00B60998">
                        <w:t xml:space="preserve"> authorized program. </w:t>
                      </w:r>
                    </w:p>
                  </w:txbxContent>
                </v:textbox>
              </v:shape>
            </w:pict>
          </mc:Fallback>
        </mc:AlternateContent>
      </w:r>
      <w:r w:rsidR="002435CC">
        <w:rPr>
          <w:noProof/>
        </w:rPr>
        <w:drawing>
          <wp:inline distT="0" distB="0" distL="0" distR="0" wp14:anchorId="62821A59" wp14:editId="3439C457">
            <wp:extent cx="8321040" cy="5577840"/>
            <wp:effectExtent l="0" t="0" r="3810" b="381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br w:type="page"/>
      </w:r>
    </w:p>
    <w:p w:rsidR="00AC1410" w:rsidRDefault="002372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C696F" wp14:editId="0DC5B4CC">
                <wp:simplePos x="0" y="0"/>
                <wp:positionH relativeFrom="column">
                  <wp:posOffset>76200</wp:posOffset>
                </wp:positionH>
                <wp:positionV relativeFrom="paragraph">
                  <wp:posOffset>5695950</wp:posOffset>
                </wp:positionV>
                <wp:extent cx="7515225" cy="1403985"/>
                <wp:effectExtent l="0" t="0" r="28575" b="1460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69" w:rsidRDefault="00FA55CD" w:rsidP="00875569">
                            <w:r>
                              <w:t xml:space="preserve">The FY </w:t>
                            </w:r>
                            <w:r w:rsidR="00297F03">
                              <w:t>20</w:t>
                            </w:r>
                            <w:r>
                              <w:t>15 CRomnibus</w:t>
                            </w:r>
                            <w:r w:rsidR="001D542D">
                              <w:t xml:space="preserve"> </w:t>
                            </w:r>
                            <w:r w:rsidR="001D542D" w:rsidRPr="001D542D">
                              <w:t>establish</w:t>
                            </w:r>
                            <w:r w:rsidR="001D542D">
                              <w:t>e</w:t>
                            </w:r>
                            <w:r w:rsidR="00D611E0">
                              <w:t>d</w:t>
                            </w:r>
                            <w:r w:rsidR="001D542D" w:rsidRPr="001D542D">
                              <w:t xml:space="preserve"> an absolute priority </w:t>
                            </w:r>
                            <w:r w:rsidR="001D542D">
                              <w:t xml:space="preserve">for applications </w:t>
                            </w:r>
                            <w:r w:rsidR="001D542D" w:rsidRPr="001D542D">
                              <w:t>for the implementation of comprehensive high school reform strategies</w:t>
                            </w:r>
                            <w:r w:rsidR="001D542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C696F" id="_x0000_s1034" type="#_x0000_t202" style="position:absolute;margin-left:6pt;margin-top:448.5pt;width:59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">
                <v:textbox style="mso-fit-shape-to-text:t">
                  <w:txbxContent>
                    <w:p w:rsidR="00875569" w:rsidRDefault="00FA55CD" w:rsidP="00875569">
                      <w:r>
                        <w:t xml:space="preserve">The FY </w:t>
                      </w:r>
                      <w:r w:rsidR="00297F03">
                        <w:t>20</w:t>
                      </w:r>
                      <w:r>
                        <w:t>15 CRomnibus</w:t>
                      </w:r>
                      <w:r w:rsidR="001D542D">
                        <w:t xml:space="preserve"> </w:t>
                      </w:r>
                      <w:r w:rsidR="001D542D" w:rsidRPr="001D542D">
                        <w:t>establish</w:t>
                      </w:r>
                      <w:r w:rsidR="001D542D">
                        <w:t>e</w:t>
                      </w:r>
                      <w:r w:rsidR="00D611E0">
                        <w:t>d</w:t>
                      </w:r>
                      <w:r w:rsidR="001D542D" w:rsidRPr="001D542D">
                        <w:t xml:space="preserve"> an absolute priority </w:t>
                      </w:r>
                      <w:r w:rsidR="001D542D">
                        <w:t xml:space="preserve">for applications </w:t>
                      </w:r>
                      <w:r w:rsidR="001D542D" w:rsidRPr="001D542D">
                        <w:t>for the implementation of comprehensive high school reform strategies</w:t>
                      </w:r>
                      <w:r w:rsidR="001D542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04DF1">
        <w:rPr>
          <w:noProof/>
        </w:rPr>
        <w:drawing>
          <wp:inline distT="0" distB="0" distL="0" distR="0" wp14:anchorId="417BD6F5" wp14:editId="46F25849">
            <wp:extent cx="8229600" cy="5577840"/>
            <wp:effectExtent l="0" t="0" r="0" b="3810"/>
            <wp:docPr id="2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07C2C" w:rsidRDefault="00207C2C">
      <w:r w:rsidRPr="00207C2C">
        <w:rPr>
          <w:noProof/>
        </w:rPr>
        <w:lastRenderedPageBreak/>
        <w:drawing>
          <wp:inline distT="0" distB="0" distL="0" distR="0" wp14:anchorId="459ABBE4" wp14:editId="5C2705CC">
            <wp:extent cx="8321040" cy="5578283"/>
            <wp:effectExtent l="0" t="0" r="3810" b="3810"/>
            <wp:docPr id="4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E6350" w:rsidRDefault="004E6350">
      <w:r w:rsidRPr="004E6350">
        <w:rPr>
          <w:noProof/>
        </w:rPr>
        <w:lastRenderedPageBreak/>
        <w:drawing>
          <wp:inline distT="0" distB="0" distL="0" distR="0" wp14:anchorId="0A490ED7" wp14:editId="2FCB06E7">
            <wp:extent cx="8318319" cy="5577840"/>
            <wp:effectExtent l="0" t="0" r="6985" b="3810"/>
            <wp:docPr id="23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817DF" w:rsidRDefault="006E033F">
      <w:r w:rsidRPr="006E033F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32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26F57" w:rsidRDefault="0082167A">
      <w:r w:rsidRPr="0082167A">
        <w:rPr>
          <w:noProof/>
        </w:rPr>
        <w:lastRenderedPageBreak/>
        <w:drawing>
          <wp:inline distT="0" distB="0" distL="0" distR="0" wp14:anchorId="35616002" wp14:editId="73AD0BA8">
            <wp:extent cx="8321040" cy="5577840"/>
            <wp:effectExtent l="0" t="0" r="3810" b="3810"/>
            <wp:docPr id="36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2663E" w:rsidRDefault="00726F57">
      <w:r>
        <w:br w:type="page"/>
      </w:r>
      <w:r w:rsidR="001D542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1" behindDoc="1" locked="0" layoutInCell="1" allowOverlap="1" wp14:anchorId="75636314" wp14:editId="00DCDD39">
                <wp:simplePos x="0" y="0"/>
                <wp:positionH relativeFrom="column">
                  <wp:posOffset>3856355</wp:posOffset>
                </wp:positionH>
                <wp:positionV relativeFrom="paragraph">
                  <wp:posOffset>327660</wp:posOffset>
                </wp:positionV>
                <wp:extent cx="895350" cy="22987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E1" w:rsidRDefault="00A10EE1">
                            <w:r>
                              <w:t>In 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6314" id="_x0000_s1035" type="#_x0000_t202" style="position:absolute;margin-left:303.65pt;margin-top:25.8pt;width:70.5pt;height:18.1pt;z-index:-2516193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" stroked="f">
                <v:textbox>
                  <w:txbxContent>
                    <w:p w:rsidR="00A10EE1" w:rsidRDefault="00A10EE1">
                      <w:r>
                        <w:t>In millions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914400" y="1197735"/>
            <wp:positionH relativeFrom="column">
              <wp:align>left</wp:align>
            </wp:positionH>
            <wp:positionV relativeFrom="paragraph">
              <wp:align>top</wp:align>
            </wp:positionV>
            <wp:extent cx="8321040" cy="5577840"/>
            <wp:effectExtent l="0" t="0" r="3810" b="3810"/>
            <wp:wrapTight wrapText="bothSides">
              <wp:wrapPolygon edited="0">
                <wp:start x="0" y="0"/>
                <wp:lineTo x="0" y="21541"/>
                <wp:lineTo x="21560" y="21541"/>
                <wp:lineTo x="21560" y="0"/>
                <wp:lineTo x="0" y="0"/>
              </wp:wrapPolygon>
            </wp:wrapTight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D2663E" w:rsidRPr="00612BEF">
        <w:rPr>
          <w:b/>
          <w:noProof/>
          <w:sz w:val="24"/>
          <w:szCs w:val="24"/>
        </w:rPr>
        <w:lastRenderedPageBreak/>
        <w:drawing>
          <wp:inline distT="0" distB="0" distL="0" distR="0" wp14:anchorId="01F8C4F7" wp14:editId="3FA8F21A">
            <wp:extent cx="8321040" cy="5577840"/>
            <wp:effectExtent l="0" t="0" r="3810" b="3810"/>
            <wp:docPr id="4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67775" w:rsidRDefault="001D54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B6CC05" wp14:editId="7EBD8E51">
                <wp:simplePos x="0" y="0"/>
                <wp:positionH relativeFrom="column">
                  <wp:posOffset>-138</wp:posOffset>
                </wp:positionH>
                <wp:positionV relativeFrom="paragraph">
                  <wp:posOffset>5708650</wp:posOffset>
                </wp:positionV>
                <wp:extent cx="7515225" cy="1403985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2D" w:rsidRDefault="001D542D" w:rsidP="004C5FCE">
                            <w:pPr>
                              <w:spacing w:line="240" w:lineRule="auto"/>
                            </w:pPr>
                            <w:r>
                              <w:t xml:space="preserve">The FY </w:t>
                            </w:r>
                            <w:r w:rsidR="00297F03">
                              <w:t>20</w:t>
                            </w:r>
                            <w:r>
                              <w:t xml:space="preserve">15 </w:t>
                            </w:r>
                            <w:r w:rsidR="004C5FCE">
                              <w:t xml:space="preserve">increase </w:t>
                            </w:r>
                            <w:r w:rsidR="004C5FCE" w:rsidRPr="004C5FCE">
                              <w:t xml:space="preserve">is for grants to LEAs that </w:t>
                            </w:r>
                            <w:r w:rsidR="004C5FCE">
                              <w:t>that had a sign</w:t>
                            </w:r>
                            <w:r w:rsidR="004C5FCE" w:rsidRPr="004C5FCE">
                              <w:t>ificant increase during the 2014–2015 school year</w:t>
                            </w:r>
                            <w:r w:rsidR="004C5FCE">
                              <w:t xml:space="preserve"> </w:t>
                            </w:r>
                            <w:r w:rsidR="004C5FCE" w:rsidRPr="004C5FCE">
                              <w:t xml:space="preserve">in the number or percentage of immigrant children and youth. Funds shall be used for supplemental academic and non-academic services and supports to </w:t>
                            </w:r>
                            <w:r w:rsidR="004C5FCE">
                              <w:t>those children and youth</w:t>
                            </w:r>
                            <w:r w:rsidR="004C5FCE" w:rsidRPr="004C5FC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6CC05" id="_x0000_s1036" type="#_x0000_t202" style="position:absolute;margin-left:0;margin-top:449.5pt;width:591.7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">
                <v:textbox style="mso-fit-shape-to-text:t">
                  <w:txbxContent>
                    <w:p w:rsidR="001D542D" w:rsidRDefault="001D542D" w:rsidP="004C5FCE">
                      <w:pPr>
                        <w:spacing w:line="240" w:lineRule="auto"/>
                      </w:pPr>
                      <w:r>
                        <w:t xml:space="preserve">The FY </w:t>
                      </w:r>
                      <w:r w:rsidR="00297F03">
                        <w:t>20</w:t>
                      </w:r>
                      <w:r>
                        <w:t xml:space="preserve">15 </w:t>
                      </w:r>
                      <w:r w:rsidR="004C5FCE">
                        <w:t xml:space="preserve">increase </w:t>
                      </w:r>
                      <w:r w:rsidR="004C5FCE" w:rsidRPr="004C5FCE">
                        <w:t xml:space="preserve">is for grants to LEAs that </w:t>
                      </w:r>
                      <w:r w:rsidR="004C5FCE">
                        <w:t>that had a sign</w:t>
                      </w:r>
                      <w:r w:rsidR="004C5FCE" w:rsidRPr="004C5FCE">
                        <w:t>ificant increase during the 2014–2015 school year</w:t>
                      </w:r>
                      <w:r w:rsidR="004C5FCE">
                        <w:t xml:space="preserve"> </w:t>
                      </w:r>
                      <w:r w:rsidR="004C5FCE" w:rsidRPr="004C5FCE">
                        <w:t xml:space="preserve">in the number or percentage of immigrant children and youth. Funds shall be used for supplemental academic and non-academic services and supports to </w:t>
                      </w:r>
                      <w:r w:rsidR="004C5FCE">
                        <w:t>those children and youth</w:t>
                      </w:r>
                      <w:r w:rsidR="004C5FCE" w:rsidRPr="004C5FC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1D42" w:rsidRPr="001011C4">
        <w:rPr>
          <w:noProof/>
          <w:color w:val="00B0F0"/>
        </w:rPr>
        <w:drawing>
          <wp:inline distT="0" distB="0" distL="0" distR="0" wp14:anchorId="5B01CD7E" wp14:editId="6F355248">
            <wp:extent cx="8321040" cy="5577840"/>
            <wp:effectExtent l="0" t="0" r="3810" b="3810"/>
            <wp:docPr id="33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85896" w:rsidRDefault="003105D2">
      <w:r w:rsidRPr="001011C4">
        <w:rPr>
          <w:noProof/>
          <w:color w:val="00B0F0"/>
        </w:rPr>
        <w:lastRenderedPageBreak/>
        <w:drawing>
          <wp:inline distT="0" distB="0" distL="0" distR="0" wp14:anchorId="53C02A5A" wp14:editId="0E25995D">
            <wp:extent cx="8321040" cy="5577840"/>
            <wp:effectExtent l="0" t="0" r="3810" b="3810"/>
            <wp:docPr id="35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85896" w:rsidRDefault="00244E9A">
      <w:r w:rsidRPr="00244E9A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25EA4" w:rsidRDefault="00244E9A">
      <w:r w:rsidRPr="00244E9A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06DE5" w:rsidRDefault="00C46CFA">
      <w:r w:rsidRPr="00C46CFA">
        <w:rPr>
          <w:noProof/>
        </w:rPr>
        <w:lastRenderedPageBreak/>
        <w:drawing>
          <wp:inline distT="0" distB="0" distL="0" distR="0">
            <wp:extent cx="8321040" cy="5578283"/>
            <wp:effectExtent l="0" t="0" r="3810" b="3810"/>
            <wp:docPr id="3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A3D97" w:rsidRDefault="000E70F5">
      <w:r w:rsidRPr="000E70F5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B0502" w:rsidRDefault="00814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95416</wp:posOffset>
                </wp:positionH>
                <wp:positionV relativeFrom="paragraph">
                  <wp:posOffset>5742830</wp:posOffset>
                </wp:positionV>
                <wp:extent cx="7644765" cy="723568"/>
                <wp:effectExtent l="0" t="0" r="13335" b="19685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765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0A" w:rsidRDefault="00845D8A">
                            <w:r>
                              <w:rPr>
                                <w:noProof/>
                              </w:rPr>
                              <w:t>The Pell grant program was</w:t>
                            </w:r>
                            <w:r w:rsidRPr="001E790F">
                              <w:rPr>
                                <w:noProof/>
                              </w:rPr>
                              <w:t xml:space="preserve"> exempt from sequestration in FY 2013.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B5040A">
                              <w:rPr>
                                <w:noProof/>
                              </w:rPr>
                              <w:t xml:space="preserve">In addition to these discretionary levels, Pell grants has had varying levels of mandatory funding since FY </w:t>
                            </w:r>
                            <w:r w:rsidR="00297F03">
                              <w:rPr>
                                <w:noProof/>
                              </w:rPr>
                              <w:t>20</w:t>
                            </w:r>
                            <w:r>
                              <w:rPr>
                                <w:noProof/>
                              </w:rPr>
                              <w:t xml:space="preserve">08. The Senate bill rescinds $300 million from FY 2015 funds. </w:t>
                            </w:r>
                            <w:r w:rsidR="00092D0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7.5pt;margin-top:452.2pt;width:601.95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">
                <v:textbox>
                  <w:txbxContent>
                    <w:p w:rsidR="00B5040A" w:rsidRDefault="00845D8A">
                      <w:r>
                        <w:rPr>
                          <w:noProof/>
                        </w:rPr>
                        <w:t>The Pell grant program was</w:t>
                      </w:r>
                      <w:r w:rsidRPr="001E790F">
                        <w:rPr>
                          <w:noProof/>
                        </w:rPr>
                        <w:t xml:space="preserve"> exempt from sequestration in FY 2013.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B5040A">
                        <w:rPr>
                          <w:noProof/>
                        </w:rPr>
                        <w:t xml:space="preserve">In addition to these discretionary levels, Pell grants has had varying levels of mandatory funding since FY </w:t>
                      </w:r>
                      <w:r w:rsidR="00297F03">
                        <w:rPr>
                          <w:noProof/>
                        </w:rPr>
                        <w:t>20</w:t>
                      </w:r>
                      <w:r>
                        <w:rPr>
                          <w:noProof/>
                        </w:rPr>
                        <w:t xml:space="preserve">08. The Senate bill rescinds $300 million from FY 2015 funds. </w:t>
                      </w:r>
                      <w:r w:rsidR="00092D0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3BC2" w:rsidRPr="001F3BC2">
        <w:rPr>
          <w:noProof/>
        </w:rPr>
        <w:drawing>
          <wp:inline distT="0" distB="0" distL="0" distR="0">
            <wp:extent cx="8337978" cy="5578283"/>
            <wp:effectExtent l="0" t="0" r="6350" b="381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4046B" w:rsidRDefault="0023706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AC0EB1" wp14:editId="58BCA5F1">
                <wp:simplePos x="0" y="0"/>
                <wp:positionH relativeFrom="column">
                  <wp:posOffset>0</wp:posOffset>
                </wp:positionH>
                <wp:positionV relativeFrom="paragraph">
                  <wp:posOffset>5628005</wp:posOffset>
                </wp:positionV>
                <wp:extent cx="8686800" cy="476250"/>
                <wp:effectExtent l="0" t="0" r="19050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061" w:rsidRDefault="00237061">
                            <w:r>
                              <w:t xml:space="preserve">The current discretionary appropriated maximum award is $4,860.  Mandatory funds automatically increase the maximum award, in FY 16 to a projected $5,915.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0EB1" id="_x0000_s1038" type="#_x0000_t202" style="position:absolute;margin-left:0;margin-top:443.15pt;width:684pt;height:37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">
                <v:textbox>
                  <w:txbxContent>
                    <w:p w:rsidR="00237061" w:rsidRDefault="00237061">
                      <w:r>
                        <w:t xml:space="preserve">The current discretionary appropriated maximum award is $4,860.  Mandatory funds automatically increase the maximum award, in FY 16 to a projected $5,915.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46B" w:rsidRPr="0034046B">
        <w:rPr>
          <w:noProof/>
        </w:rPr>
        <w:drawing>
          <wp:inline distT="0" distB="0" distL="0" distR="0" wp14:anchorId="1350D6C7" wp14:editId="1F4C500F">
            <wp:extent cx="8321040" cy="5581650"/>
            <wp:effectExtent l="0" t="0" r="381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37061" w:rsidRDefault="00237061"/>
    <w:p w:rsidR="002C09B8" w:rsidRDefault="002C09B8">
      <w:r w:rsidRPr="002C09B8">
        <w:rPr>
          <w:noProof/>
        </w:rPr>
        <w:drawing>
          <wp:inline distT="0" distB="0" distL="0" distR="0">
            <wp:extent cx="8321040" cy="5577840"/>
            <wp:effectExtent l="0" t="0" r="3810" b="381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B6019" w:rsidRDefault="005B6019">
      <w:r w:rsidRPr="005B6019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1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00676" w:rsidRDefault="00600676">
      <w:r w:rsidRPr="00600676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02AAE" w:rsidRDefault="00814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5577840</wp:posOffset>
                </wp:positionV>
                <wp:extent cx="7644765" cy="8515350"/>
                <wp:effectExtent l="0" t="0" r="13335" b="1905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765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0A" w:rsidRPr="00DF0BB7" w:rsidRDefault="00B5040A" w:rsidP="00DF0BB7">
                            <w:r w:rsidRPr="00DF0BB7">
                              <w:t>Since FY 2008, there has also been mandatory funding provided for Institutional Development.  Included in</w:t>
                            </w:r>
                            <w:r w:rsidR="00C055A0">
                              <w:t xml:space="preserve"> the FY </w:t>
                            </w:r>
                            <w:r w:rsidR="00297F03">
                              <w:t>20</w:t>
                            </w:r>
                            <w:r w:rsidR="00C055A0">
                              <w:t xml:space="preserve">16 Budget </w:t>
                            </w:r>
                            <w:r w:rsidRPr="00DF0BB7">
                              <w:t>is $</w:t>
                            </w:r>
                            <w:r w:rsidR="00C055A0">
                              <w:t>255</w:t>
                            </w:r>
                            <w:r w:rsidRPr="00DF0BB7">
                              <w:t xml:space="preserve"> million. </w:t>
                            </w:r>
                            <w:r w:rsidR="003C6EE6">
                              <w:t xml:space="preserve">This mandatory funding has been subject to </w:t>
                            </w:r>
                            <w:r w:rsidR="00CC17FC">
                              <w:t xml:space="preserve">across-the-board </w:t>
                            </w:r>
                            <w:r w:rsidR="003C6EE6">
                              <w:t xml:space="preserve">sequester cuts </w:t>
                            </w:r>
                            <w:r w:rsidR="00CC17FC">
                              <w:t xml:space="preserve">since </w:t>
                            </w:r>
                            <w:r w:rsidR="003C6EE6">
                              <w:t xml:space="preserve">FY </w:t>
                            </w:r>
                            <w:r w:rsidR="00297F03">
                              <w:t>20</w:t>
                            </w:r>
                            <w:r w:rsidR="003C6EE6">
                              <w:t>13 and will continue to be subject to sequestration.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.5pt;margin-top:439.2pt;width:601.95pt;height:6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NzMQIAAFsEAAAOAAAAZHJzL2Uyb0RvYy54bWysVNuO0zAQfUfiHyy/0zRt0+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">
                <v:textbox>
                  <w:txbxContent>
                    <w:p w:rsidR="00B5040A" w:rsidRPr="00DF0BB7" w:rsidRDefault="00B5040A" w:rsidP="00DF0BB7">
                      <w:r w:rsidRPr="00DF0BB7">
                        <w:t>Since FY 2008, there has also been mandatory funding provided for Institutional Development.  Included in</w:t>
                      </w:r>
                      <w:r w:rsidR="00C055A0">
                        <w:t xml:space="preserve"> the FY </w:t>
                      </w:r>
                      <w:r w:rsidR="00297F03">
                        <w:t>20</w:t>
                      </w:r>
                      <w:r w:rsidR="00C055A0">
                        <w:t xml:space="preserve">16 Budget </w:t>
                      </w:r>
                      <w:r w:rsidRPr="00DF0BB7">
                        <w:t>is $</w:t>
                      </w:r>
                      <w:r w:rsidR="00C055A0">
                        <w:t>255</w:t>
                      </w:r>
                      <w:r w:rsidRPr="00DF0BB7">
                        <w:t xml:space="preserve"> million. </w:t>
                      </w:r>
                      <w:r w:rsidR="003C6EE6">
                        <w:t xml:space="preserve">This mandatory funding has been subject to </w:t>
                      </w:r>
                      <w:r w:rsidR="00CC17FC">
                        <w:t xml:space="preserve">across-the-board </w:t>
                      </w:r>
                      <w:r w:rsidR="003C6EE6">
                        <w:t xml:space="preserve">sequester cuts </w:t>
                      </w:r>
                      <w:r w:rsidR="00CC17FC">
                        <w:t xml:space="preserve">since </w:t>
                      </w:r>
                      <w:r w:rsidR="003C6EE6">
                        <w:t xml:space="preserve">FY </w:t>
                      </w:r>
                      <w:r w:rsidR="00297F03">
                        <w:t>20</w:t>
                      </w:r>
                      <w:r w:rsidR="003C6EE6">
                        <w:t>13 and will continue to be subject to sequestration.</w:t>
                      </w:r>
                    </w:p>
                  </w:txbxContent>
                </v:textbox>
              </v:shape>
            </w:pict>
          </mc:Fallback>
        </mc:AlternateContent>
      </w:r>
      <w:r w:rsidR="00D02AAE" w:rsidRPr="00D02AAE">
        <w:rPr>
          <w:noProof/>
        </w:rPr>
        <w:drawing>
          <wp:inline distT="0" distB="0" distL="0" distR="0">
            <wp:extent cx="8321040" cy="5577840"/>
            <wp:effectExtent l="0" t="0" r="3810" b="3810"/>
            <wp:docPr id="1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02072" w:rsidRDefault="00814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5715635</wp:posOffset>
                </wp:positionV>
                <wp:extent cx="6410960" cy="371475"/>
                <wp:effectExtent l="0" t="0" r="27940" b="2857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0A" w:rsidRPr="00B00AA7" w:rsidRDefault="00B5040A" w:rsidP="00DF0BB7">
                            <w:r w:rsidRPr="00B00AA7">
                              <w:t xml:space="preserve">Between FY 2008 and FY 2011 mandatory funding of $57 million </w:t>
                            </w:r>
                            <w:r>
                              <w:t xml:space="preserve">was </w:t>
                            </w:r>
                            <w:r w:rsidRPr="00B00AA7">
                              <w:t xml:space="preserve">provided </w:t>
                            </w:r>
                            <w:r>
                              <w:t xml:space="preserve">each year </w:t>
                            </w:r>
                            <w:r w:rsidRPr="00B00AA7">
                              <w:t xml:space="preserve">for TRIO. </w:t>
                            </w:r>
                          </w:p>
                          <w:p w:rsidR="00B5040A" w:rsidRPr="00B00AA7" w:rsidRDefault="00B5040A" w:rsidP="00DF0BB7"/>
                          <w:p w:rsidR="00B5040A" w:rsidRDefault="00B50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.75pt;margin-top:450.05pt;width:504.8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aILwIAAFoEAAAOAAAAZHJzL2Uyb0RvYy54bWysVNtu2zAMfR+wfxD0vjhOna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">
                <v:textbox>
                  <w:txbxContent>
                    <w:p w:rsidR="00B5040A" w:rsidRPr="00B00AA7" w:rsidRDefault="00B5040A" w:rsidP="00DF0BB7">
                      <w:r w:rsidRPr="00B00AA7">
                        <w:t xml:space="preserve">Between FY 2008 and FY 2011 mandatory funding of $57 million </w:t>
                      </w:r>
                      <w:r>
                        <w:t xml:space="preserve">was </w:t>
                      </w:r>
                      <w:r w:rsidRPr="00B00AA7">
                        <w:t xml:space="preserve">provided </w:t>
                      </w:r>
                      <w:r>
                        <w:t xml:space="preserve">each year </w:t>
                      </w:r>
                      <w:r w:rsidRPr="00B00AA7">
                        <w:t xml:space="preserve">for TRIO. </w:t>
                      </w:r>
                    </w:p>
                    <w:p w:rsidR="00B5040A" w:rsidRPr="00B00AA7" w:rsidRDefault="00B5040A" w:rsidP="00DF0BB7"/>
                    <w:p w:rsidR="00B5040A" w:rsidRDefault="00B5040A"/>
                  </w:txbxContent>
                </v:textbox>
              </v:shape>
            </w:pict>
          </mc:Fallback>
        </mc:AlternateContent>
      </w:r>
      <w:r w:rsidR="000F5DB4" w:rsidRPr="000F5DB4">
        <w:rPr>
          <w:noProof/>
        </w:rPr>
        <w:drawing>
          <wp:inline distT="0" distB="0" distL="0" distR="0">
            <wp:extent cx="8321040" cy="5581650"/>
            <wp:effectExtent l="0" t="0" r="381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2837A2" w:rsidRDefault="00502072">
      <w:r>
        <w:br w:type="page"/>
      </w:r>
      <w:r w:rsidR="0023723F" w:rsidRPr="00D648A7">
        <w:rPr>
          <w:noProof/>
        </w:rPr>
        <w:lastRenderedPageBreak/>
        <w:drawing>
          <wp:inline distT="0" distB="0" distL="0" distR="0" wp14:anchorId="1FC0E6B2" wp14:editId="465EFCC0">
            <wp:extent cx="8321040" cy="5577840"/>
            <wp:effectExtent l="0" t="0" r="3810" b="381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073B85" w:rsidRDefault="00502072">
      <w:r>
        <w:br w:type="page"/>
      </w:r>
      <w:r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073B85" w:rsidRDefault="00073B85">
      <w:r>
        <w:br w:type="page"/>
      </w:r>
      <w:r w:rsidR="008146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CB658" wp14:editId="39EC3658">
                <wp:simplePos x="0" y="0"/>
                <wp:positionH relativeFrom="column">
                  <wp:posOffset>8626</wp:posOffset>
                </wp:positionH>
                <wp:positionV relativeFrom="paragraph">
                  <wp:posOffset>5698609</wp:posOffset>
                </wp:positionV>
                <wp:extent cx="6981825" cy="526211"/>
                <wp:effectExtent l="0" t="0" r="28575" b="2667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0A" w:rsidRPr="00D7296A" w:rsidRDefault="00B5040A" w:rsidP="00D7296A">
                            <w:r w:rsidRPr="00D7296A">
                              <w:t>Prior to FY 2008 funds were provided under the antecedent Teacher Quality Enhancement program.</w:t>
                            </w:r>
                            <w:r>
                              <w:t xml:space="preserve"> </w:t>
                            </w:r>
                            <w:r w:rsidR="00DF6456" w:rsidRPr="00DF6456">
                              <w:t>The President’s Budget proposes to consolidate Teacher Quality Partnership</w:t>
                            </w:r>
                            <w:r w:rsidR="00FE5051">
                              <w:t>s</w:t>
                            </w:r>
                            <w:r w:rsidR="00DF6456" w:rsidRPr="00DF6456">
                              <w:t xml:space="preserve"> into</w:t>
                            </w:r>
                            <w:r w:rsidR="00DF6456">
                              <w:t xml:space="preserve"> </w:t>
                            </w:r>
                            <w:r w:rsidR="00787260">
                              <w:t xml:space="preserve">the </w:t>
                            </w:r>
                            <w:r w:rsidR="00DF6456">
                              <w:t xml:space="preserve">Teacher and Principal Pathways program. </w:t>
                            </w:r>
                          </w:p>
                          <w:p w:rsidR="00B5040A" w:rsidRDefault="00B50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CB65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1" type="#_x0000_t202" style="position:absolute;margin-left:.7pt;margin-top:448.7pt;width:549.75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">
                <v:textbox>
                  <w:txbxContent>
                    <w:p w:rsidR="00B5040A" w:rsidRPr="00D7296A" w:rsidRDefault="00B5040A" w:rsidP="00D7296A">
                      <w:r w:rsidRPr="00D7296A">
                        <w:t>Prior to FY 2008 funds were provided under the antecedent Teacher Quality Enhancement program.</w:t>
                      </w:r>
                      <w:r>
                        <w:t xml:space="preserve"> </w:t>
                      </w:r>
                      <w:r w:rsidR="00DF6456" w:rsidRPr="00DF6456">
                        <w:t>The President’s Budget proposes to consolidate Teacher Quality Partnership</w:t>
                      </w:r>
                      <w:r w:rsidR="00FE5051">
                        <w:t>s</w:t>
                      </w:r>
                      <w:r w:rsidR="00DF6456" w:rsidRPr="00DF6456">
                        <w:t xml:space="preserve"> into</w:t>
                      </w:r>
                      <w:r w:rsidR="00DF6456">
                        <w:t xml:space="preserve"> </w:t>
                      </w:r>
                      <w:r w:rsidR="00787260">
                        <w:t xml:space="preserve">the </w:t>
                      </w:r>
                      <w:r w:rsidR="00DF6456">
                        <w:t xml:space="preserve">Teacher and Principal Pathways program. </w:t>
                      </w:r>
                    </w:p>
                    <w:p w:rsidR="00B5040A" w:rsidRDefault="00B5040A"/>
                  </w:txbxContent>
                </v:textbox>
              </v:shape>
            </w:pict>
          </mc:Fallback>
        </mc:AlternateContent>
      </w:r>
      <w:r w:rsidRPr="00073B85">
        <w:rPr>
          <w:noProof/>
        </w:rPr>
        <w:drawing>
          <wp:inline distT="0" distB="0" distL="0" distR="0">
            <wp:extent cx="8321040" cy="5578283"/>
            <wp:effectExtent l="0" t="0" r="3810" b="3810"/>
            <wp:docPr id="4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D65B3" w:rsidRDefault="00FD65B3">
      <w:r w:rsidRPr="00FD65B3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2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B16368" w:rsidRDefault="00FD65B3">
      <w:r w:rsidRPr="00FD65B3">
        <w:rPr>
          <w:noProof/>
        </w:rPr>
        <w:lastRenderedPageBreak/>
        <w:drawing>
          <wp:inline distT="0" distB="0" distL="0" distR="0">
            <wp:extent cx="8321040" cy="5577840"/>
            <wp:effectExtent l="0" t="0" r="3810" b="3810"/>
            <wp:docPr id="2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FD65B3" w:rsidRDefault="00B16368">
      <w:r>
        <w:br w:type="page"/>
      </w:r>
      <w:r w:rsidR="00CA51D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100484</wp:posOffset>
                </wp:positionH>
                <wp:positionV relativeFrom="paragraph">
                  <wp:posOffset>5658227</wp:posOffset>
                </wp:positionV>
                <wp:extent cx="7847762" cy="874206"/>
                <wp:effectExtent l="0" t="0" r="20320" b="2159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762" cy="874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DB" w:rsidRDefault="008655A8" w:rsidP="003C6EE6">
                            <w:r>
                              <w:rPr>
                                <w:szCs w:val="28"/>
                              </w:rPr>
                              <w:t>In the President’s Budget</w:t>
                            </w:r>
                            <w:r w:rsidR="004D3DEE">
                              <w:rPr>
                                <w:szCs w:val="28"/>
                              </w:rPr>
                              <w:t xml:space="preserve"> w</w:t>
                            </w:r>
                            <w:r w:rsidR="00CA51DB" w:rsidRPr="00B850ED">
                              <w:rPr>
                                <w:szCs w:val="28"/>
                              </w:rPr>
                              <w:t>ithin</w:t>
                            </w:r>
                            <w:r w:rsidR="00CA51DB">
                              <w:rPr>
                                <w:szCs w:val="28"/>
                              </w:rPr>
                              <w:t xml:space="preserve"> the total for Head Start, $</w:t>
                            </w:r>
                            <w:r>
                              <w:rPr>
                                <w:szCs w:val="28"/>
                              </w:rPr>
                              <w:t>650</w:t>
                            </w:r>
                            <w:r w:rsidR="00CA51DB">
                              <w:rPr>
                                <w:szCs w:val="28"/>
                              </w:rPr>
                              <w:t xml:space="preserve"> million </w:t>
                            </w:r>
                            <w:r w:rsidR="00CA51DB" w:rsidRPr="00B850ED">
                              <w:rPr>
                                <w:szCs w:val="28"/>
                              </w:rPr>
                              <w:t>is for Early Head Start (EHS), including EHS-Child Care Partnerships</w:t>
                            </w:r>
                            <w:r>
                              <w:rPr>
                                <w:szCs w:val="28"/>
                              </w:rPr>
                              <w:t xml:space="preserve"> and </w:t>
                            </w:r>
                            <w:r w:rsidRPr="008655A8">
                              <w:rPr>
                                <w:szCs w:val="28"/>
                              </w:rPr>
                              <w:t xml:space="preserve">$1.078 billion to supplement funding available to </w:t>
                            </w:r>
                            <w:r>
                              <w:rPr>
                                <w:szCs w:val="28"/>
                              </w:rPr>
                              <w:t>expand Head Start programs to full-day and full-year.</w:t>
                            </w:r>
                            <w:r w:rsidR="00FE5051">
                              <w:rPr>
                                <w:szCs w:val="28"/>
                              </w:rPr>
                              <w:t xml:space="preserve"> The House bill increases Early Head Start by $150 million and Head Start by $42 million.  The $100 million Senate increase is all for Early Head Start.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.9pt;margin-top:445.55pt;width:617.95pt;height:68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KVJwIAAE0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">
                <v:textbox>
                  <w:txbxContent>
                    <w:p w:rsidR="00CA51DB" w:rsidRDefault="008655A8" w:rsidP="003C6EE6">
                      <w:r>
                        <w:rPr>
                          <w:szCs w:val="28"/>
                        </w:rPr>
                        <w:t>In the President’s Budget</w:t>
                      </w:r>
                      <w:r w:rsidR="004D3DEE">
                        <w:rPr>
                          <w:szCs w:val="28"/>
                        </w:rPr>
                        <w:t xml:space="preserve"> w</w:t>
                      </w:r>
                      <w:r w:rsidR="00CA51DB" w:rsidRPr="00B850ED">
                        <w:rPr>
                          <w:szCs w:val="28"/>
                        </w:rPr>
                        <w:t>ithin</w:t>
                      </w:r>
                      <w:r w:rsidR="00CA51DB">
                        <w:rPr>
                          <w:szCs w:val="28"/>
                        </w:rPr>
                        <w:t xml:space="preserve"> the total for Head Start, $</w:t>
                      </w:r>
                      <w:r>
                        <w:rPr>
                          <w:szCs w:val="28"/>
                        </w:rPr>
                        <w:t>650</w:t>
                      </w:r>
                      <w:r w:rsidR="00CA51DB">
                        <w:rPr>
                          <w:szCs w:val="28"/>
                        </w:rPr>
                        <w:t xml:space="preserve"> million </w:t>
                      </w:r>
                      <w:r w:rsidR="00CA51DB" w:rsidRPr="00B850ED">
                        <w:rPr>
                          <w:szCs w:val="28"/>
                        </w:rPr>
                        <w:t>is for Early Head Start (EHS), including EHS-Child Care Partnerships</w:t>
                      </w:r>
                      <w:r>
                        <w:rPr>
                          <w:szCs w:val="28"/>
                        </w:rPr>
                        <w:t xml:space="preserve"> and </w:t>
                      </w:r>
                      <w:r w:rsidRPr="008655A8">
                        <w:rPr>
                          <w:szCs w:val="28"/>
                        </w:rPr>
                        <w:t xml:space="preserve">$1.078 billion to supplement funding available to </w:t>
                      </w:r>
                      <w:r>
                        <w:rPr>
                          <w:szCs w:val="28"/>
                        </w:rPr>
                        <w:t>expand Head Start programs to full-day and full-year.</w:t>
                      </w:r>
                      <w:r w:rsidR="00FE5051">
                        <w:rPr>
                          <w:szCs w:val="28"/>
                        </w:rPr>
                        <w:t xml:space="preserve"> The House bill increases Early Head Start by $150 million and Head Start by $42 million.  The $100 million Senate increase is all for Early Head Start.</w:t>
                      </w:r>
                    </w:p>
                  </w:txbxContent>
                </v:textbox>
              </v:shape>
            </w:pict>
          </mc:Fallback>
        </mc:AlternateContent>
      </w:r>
      <w:r w:rsidR="001B7E8B" w:rsidRPr="001B7E8B">
        <w:rPr>
          <w:noProof/>
        </w:rPr>
        <w:drawing>
          <wp:inline distT="0" distB="0" distL="0" distR="0">
            <wp:extent cx="8321040" cy="5577592"/>
            <wp:effectExtent l="0" t="0" r="3810" b="4445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sectPr w:rsidR="00FD65B3" w:rsidSect="002B775D">
      <w:pgSz w:w="15840" w:h="12240" w:orient="landscape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26" w:rsidRDefault="00A91E26" w:rsidP="00682131">
      <w:pPr>
        <w:spacing w:after="0" w:line="240" w:lineRule="auto"/>
      </w:pPr>
      <w:r>
        <w:separator/>
      </w:r>
    </w:p>
  </w:endnote>
  <w:endnote w:type="continuationSeparator" w:id="0">
    <w:p w:rsidR="00A91E26" w:rsidRDefault="00A91E26" w:rsidP="0068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26" w:rsidRDefault="00A91E26" w:rsidP="00682131">
      <w:pPr>
        <w:spacing w:after="0" w:line="240" w:lineRule="auto"/>
      </w:pPr>
      <w:r>
        <w:separator/>
      </w:r>
    </w:p>
  </w:footnote>
  <w:footnote w:type="continuationSeparator" w:id="0">
    <w:p w:rsidR="00A91E26" w:rsidRDefault="00A91E26" w:rsidP="0068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96C"/>
    <w:multiLevelType w:val="hybridMultilevel"/>
    <w:tmpl w:val="C7F2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7615"/>
    <w:multiLevelType w:val="hybridMultilevel"/>
    <w:tmpl w:val="D00A9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12CD6"/>
    <w:multiLevelType w:val="hybridMultilevel"/>
    <w:tmpl w:val="880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7D8B"/>
    <w:multiLevelType w:val="hybridMultilevel"/>
    <w:tmpl w:val="3FB69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A3786"/>
    <w:multiLevelType w:val="hybridMultilevel"/>
    <w:tmpl w:val="802C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F3961"/>
    <w:multiLevelType w:val="hybridMultilevel"/>
    <w:tmpl w:val="1EA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4F8A"/>
    <w:multiLevelType w:val="hybridMultilevel"/>
    <w:tmpl w:val="40DA6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CB"/>
    <w:rsid w:val="0000792A"/>
    <w:rsid w:val="0001022E"/>
    <w:rsid w:val="000174E9"/>
    <w:rsid w:val="0002115D"/>
    <w:rsid w:val="00023B12"/>
    <w:rsid w:val="00023C18"/>
    <w:rsid w:val="00030859"/>
    <w:rsid w:val="000367E2"/>
    <w:rsid w:val="00037729"/>
    <w:rsid w:val="00053C33"/>
    <w:rsid w:val="00073B85"/>
    <w:rsid w:val="0008389E"/>
    <w:rsid w:val="000841AC"/>
    <w:rsid w:val="000850E2"/>
    <w:rsid w:val="00085277"/>
    <w:rsid w:val="00092D02"/>
    <w:rsid w:val="000A51B5"/>
    <w:rsid w:val="000C4BD3"/>
    <w:rsid w:val="000C70D5"/>
    <w:rsid w:val="000D0290"/>
    <w:rsid w:val="000D1C4B"/>
    <w:rsid w:val="000E70F5"/>
    <w:rsid w:val="000F22AA"/>
    <w:rsid w:val="000F5DB4"/>
    <w:rsid w:val="001011C4"/>
    <w:rsid w:val="00106C81"/>
    <w:rsid w:val="001261F9"/>
    <w:rsid w:val="0013092C"/>
    <w:rsid w:val="00160F45"/>
    <w:rsid w:val="00160FD4"/>
    <w:rsid w:val="00180318"/>
    <w:rsid w:val="001902F6"/>
    <w:rsid w:val="00197349"/>
    <w:rsid w:val="001A0C64"/>
    <w:rsid w:val="001A5D83"/>
    <w:rsid w:val="001B1684"/>
    <w:rsid w:val="001B7A2B"/>
    <w:rsid w:val="001B7E8B"/>
    <w:rsid w:val="001C2B5A"/>
    <w:rsid w:val="001D0DF2"/>
    <w:rsid w:val="001D542D"/>
    <w:rsid w:val="001D58B6"/>
    <w:rsid w:val="001E1D3A"/>
    <w:rsid w:val="001E790F"/>
    <w:rsid w:val="001F0550"/>
    <w:rsid w:val="001F3BC2"/>
    <w:rsid w:val="00207C2C"/>
    <w:rsid w:val="00211C8F"/>
    <w:rsid w:val="002154F3"/>
    <w:rsid w:val="00221FC1"/>
    <w:rsid w:val="00225EA4"/>
    <w:rsid w:val="00237061"/>
    <w:rsid w:val="0023723F"/>
    <w:rsid w:val="002435CC"/>
    <w:rsid w:val="00244E9A"/>
    <w:rsid w:val="00254DB0"/>
    <w:rsid w:val="0025768F"/>
    <w:rsid w:val="0026321C"/>
    <w:rsid w:val="002736E4"/>
    <w:rsid w:val="00280375"/>
    <w:rsid w:val="00280A3C"/>
    <w:rsid w:val="002837A2"/>
    <w:rsid w:val="00285CC6"/>
    <w:rsid w:val="00287081"/>
    <w:rsid w:val="00297F03"/>
    <w:rsid w:val="002A71FA"/>
    <w:rsid w:val="002B775D"/>
    <w:rsid w:val="002C09B8"/>
    <w:rsid w:val="002C4461"/>
    <w:rsid w:val="002C4B26"/>
    <w:rsid w:val="002D11CF"/>
    <w:rsid w:val="002D7BE5"/>
    <w:rsid w:val="002E6A40"/>
    <w:rsid w:val="002F089F"/>
    <w:rsid w:val="002F0C31"/>
    <w:rsid w:val="002F3405"/>
    <w:rsid w:val="002F7FED"/>
    <w:rsid w:val="003105D2"/>
    <w:rsid w:val="003257FF"/>
    <w:rsid w:val="0034046B"/>
    <w:rsid w:val="00341270"/>
    <w:rsid w:val="0035335D"/>
    <w:rsid w:val="0035410B"/>
    <w:rsid w:val="003563A6"/>
    <w:rsid w:val="00363AA1"/>
    <w:rsid w:val="0036793D"/>
    <w:rsid w:val="00393152"/>
    <w:rsid w:val="00393734"/>
    <w:rsid w:val="00397F1B"/>
    <w:rsid w:val="003A6661"/>
    <w:rsid w:val="003C6EE6"/>
    <w:rsid w:val="003C7B2C"/>
    <w:rsid w:val="003D10E0"/>
    <w:rsid w:val="003D382F"/>
    <w:rsid w:val="003D4836"/>
    <w:rsid w:val="003E2353"/>
    <w:rsid w:val="003E3E4F"/>
    <w:rsid w:val="003E58AF"/>
    <w:rsid w:val="003E60EF"/>
    <w:rsid w:val="003E6384"/>
    <w:rsid w:val="003E7276"/>
    <w:rsid w:val="003F6102"/>
    <w:rsid w:val="00411167"/>
    <w:rsid w:val="00421EBB"/>
    <w:rsid w:val="004300A1"/>
    <w:rsid w:val="00433FF5"/>
    <w:rsid w:val="00434C9C"/>
    <w:rsid w:val="00447395"/>
    <w:rsid w:val="00465335"/>
    <w:rsid w:val="00492902"/>
    <w:rsid w:val="004A5567"/>
    <w:rsid w:val="004C1C5E"/>
    <w:rsid w:val="004C5FCE"/>
    <w:rsid w:val="004D2598"/>
    <w:rsid w:val="004D3DEE"/>
    <w:rsid w:val="004E13C4"/>
    <w:rsid w:val="004E6350"/>
    <w:rsid w:val="004F1025"/>
    <w:rsid w:val="004F3A3B"/>
    <w:rsid w:val="00502072"/>
    <w:rsid w:val="00506957"/>
    <w:rsid w:val="00506B6A"/>
    <w:rsid w:val="00511FBF"/>
    <w:rsid w:val="00516AC8"/>
    <w:rsid w:val="00517050"/>
    <w:rsid w:val="00522BDB"/>
    <w:rsid w:val="0052320C"/>
    <w:rsid w:val="00534B8D"/>
    <w:rsid w:val="00542E0F"/>
    <w:rsid w:val="00542ED2"/>
    <w:rsid w:val="00561D00"/>
    <w:rsid w:val="00572780"/>
    <w:rsid w:val="00580313"/>
    <w:rsid w:val="00583421"/>
    <w:rsid w:val="00597A24"/>
    <w:rsid w:val="005A4C2A"/>
    <w:rsid w:val="005B1C46"/>
    <w:rsid w:val="005B5884"/>
    <w:rsid w:val="005B6019"/>
    <w:rsid w:val="005C0F2B"/>
    <w:rsid w:val="005E15DC"/>
    <w:rsid w:val="00600676"/>
    <w:rsid w:val="006121AF"/>
    <w:rsid w:val="00612BEF"/>
    <w:rsid w:val="00625079"/>
    <w:rsid w:val="00633796"/>
    <w:rsid w:val="00636629"/>
    <w:rsid w:val="006476C8"/>
    <w:rsid w:val="00647942"/>
    <w:rsid w:val="00675CB6"/>
    <w:rsid w:val="00682131"/>
    <w:rsid w:val="00690F5C"/>
    <w:rsid w:val="006A41D0"/>
    <w:rsid w:val="006A65A4"/>
    <w:rsid w:val="006B30DE"/>
    <w:rsid w:val="006D7440"/>
    <w:rsid w:val="006E033F"/>
    <w:rsid w:val="006E6129"/>
    <w:rsid w:val="006E6E52"/>
    <w:rsid w:val="006F1AAF"/>
    <w:rsid w:val="006F2009"/>
    <w:rsid w:val="006F62EE"/>
    <w:rsid w:val="007024F9"/>
    <w:rsid w:val="00703937"/>
    <w:rsid w:val="00704775"/>
    <w:rsid w:val="00711923"/>
    <w:rsid w:val="00726F57"/>
    <w:rsid w:val="00732823"/>
    <w:rsid w:val="00735B3B"/>
    <w:rsid w:val="00740AEA"/>
    <w:rsid w:val="0075614D"/>
    <w:rsid w:val="00757D90"/>
    <w:rsid w:val="00785896"/>
    <w:rsid w:val="00787260"/>
    <w:rsid w:val="00791694"/>
    <w:rsid w:val="00793FD9"/>
    <w:rsid w:val="007A3474"/>
    <w:rsid w:val="007A5649"/>
    <w:rsid w:val="007A6761"/>
    <w:rsid w:val="007B2DF4"/>
    <w:rsid w:val="007B3BF9"/>
    <w:rsid w:val="007D2B8E"/>
    <w:rsid w:val="007D3F30"/>
    <w:rsid w:val="007E210E"/>
    <w:rsid w:val="007E2B7B"/>
    <w:rsid w:val="007E5EF2"/>
    <w:rsid w:val="00802601"/>
    <w:rsid w:val="008061CF"/>
    <w:rsid w:val="00814673"/>
    <w:rsid w:val="00814A6F"/>
    <w:rsid w:val="0082167A"/>
    <w:rsid w:val="00837D55"/>
    <w:rsid w:val="00845D8A"/>
    <w:rsid w:val="00855521"/>
    <w:rsid w:val="00856C6A"/>
    <w:rsid w:val="00862840"/>
    <w:rsid w:val="0086325B"/>
    <w:rsid w:val="008655A8"/>
    <w:rsid w:val="008743CC"/>
    <w:rsid w:val="00875569"/>
    <w:rsid w:val="008801F1"/>
    <w:rsid w:val="008817DF"/>
    <w:rsid w:val="00882EE4"/>
    <w:rsid w:val="008857CB"/>
    <w:rsid w:val="0089331C"/>
    <w:rsid w:val="008A3387"/>
    <w:rsid w:val="008A7142"/>
    <w:rsid w:val="008B5FEF"/>
    <w:rsid w:val="008B6907"/>
    <w:rsid w:val="008C1ADE"/>
    <w:rsid w:val="008C53AE"/>
    <w:rsid w:val="008C61CF"/>
    <w:rsid w:val="008C7896"/>
    <w:rsid w:val="008D500D"/>
    <w:rsid w:val="008E0533"/>
    <w:rsid w:val="008E368C"/>
    <w:rsid w:val="008F7CE7"/>
    <w:rsid w:val="00904923"/>
    <w:rsid w:val="0092202C"/>
    <w:rsid w:val="009538AE"/>
    <w:rsid w:val="009564B5"/>
    <w:rsid w:val="00966124"/>
    <w:rsid w:val="0096688F"/>
    <w:rsid w:val="00981755"/>
    <w:rsid w:val="00981E59"/>
    <w:rsid w:val="009820F3"/>
    <w:rsid w:val="009830BB"/>
    <w:rsid w:val="00983156"/>
    <w:rsid w:val="00990F5D"/>
    <w:rsid w:val="009A3736"/>
    <w:rsid w:val="009A687B"/>
    <w:rsid w:val="009B14E1"/>
    <w:rsid w:val="009B23F8"/>
    <w:rsid w:val="009B7A35"/>
    <w:rsid w:val="009C106C"/>
    <w:rsid w:val="009C38B6"/>
    <w:rsid w:val="009D5F2C"/>
    <w:rsid w:val="009E09C7"/>
    <w:rsid w:val="009F330F"/>
    <w:rsid w:val="00A018A9"/>
    <w:rsid w:val="00A10EE1"/>
    <w:rsid w:val="00A17BC3"/>
    <w:rsid w:val="00A335CF"/>
    <w:rsid w:val="00A4022C"/>
    <w:rsid w:val="00A474C8"/>
    <w:rsid w:val="00A519BB"/>
    <w:rsid w:val="00A55968"/>
    <w:rsid w:val="00A55D55"/>
    <w:rsid w:val="00A6717C"/>
    <w:rsid w:val="00A6753C"/>
    <w:rsid w:val="00A7386E"/>
    <w:rsid w:val="00A7505B"/>
    <w:rsid w:val="00A82517"/>
    <w:rsid w:val="00A84C12"/>
    <w:rsid w:val="00A91E26"/>
    <w:rsid w:val="00A93E37"/>
    <w:rsid w:val="00AA0988"/>
    <w:rsid w:val="00AB2C05"/>
    <w:rsid w:val="00AB3F76"/>
    <w:rsid w:val="00AC1410"/>
    <w:rsid w:val="00AC6B77"/>
    <w:rsid w:val="00AC795C"/>
    <w:rsid w:val="00AD03DC"/>
    <w:rsid w:val="00AD080D"/>
    <w:rsid w:val="00AD3E8A"/>
    <w:rsid w:val="00AD6099"/>
    <w:rsid w:val="00AD7B2C"/>
    <w:rsid w:val="00AF07D2"/>
    <w:rsid w:val="00B02811"/>
    <w:rsid w:val="00B07749"/>
    <w:rsid w:val="00B16368"/>
    <w:rsid w:val="00B25330"/>
    <w:rsid w:val="00B264D7"/>
    <w:rsid w:val="00B301C5"/>
    <w:rsid w:val="00B40389"/>
    <w:rsid w:val="00B45882"/>
    <w:rsid w:val="00B5040A"/>
    <w:rsid w:val="00B52D2F"/>
    <w:rsid w:val="00B54D09"/>
    <w:rsid w:val="00B60998"/>
    <w:rsid w:val="00B65F8C"/>
    <w:rsid w:val="00B679B7"/>
    <w:rsid w:val="00B71957"/>
    <w:rsid w:val="00B72BC8"/>
    <w:rsid w:val="00B863CF"/>
    <w:rsid w:val="00BA0E7F"/>
    <w:rsid w:val="00BA4C8C"/>
    <w:rsid w:val="00BC4AA7"/>
    <w:rsid w:val="00BC707B"/>
    <w:rsid w:val="00BD0430"/>
    <w:rsid w:val="00BF22C3"/>
    <w:rsid w:val="00BF6100"/>
    <w:rsid w:val="00C02426"/>
    <w:rsid w:val="00C055A0"/>
    <w:rsid w:val="00C25D66"/>
    <w:rsid w:val="00C333C5"/>
    <w:rsid w:val="00C42446"/>
    <w:rsid w:val="00C46CFA"/>
    <w:rsid w:val="00C47249"/>
    <w:rsid w:val="00C477E3"/>
    <w:rsid w:val="00C5096D"/>
    <w:rsid w:val="00C714C1"/>
    <w:rsid w:val="00C72B79"/>
    <w:rsid w:val="00C82E02"/>
    <w:rsid w:val="00C85698"/>
    <w:rsid w:val="00C9480B"/>
    <w:rsid w:val="00CA51DB"/>
    <w:rsid w:val="00CC0002"/>
    <w:rsid w:val="00CC17FC"/>
    <w:rsid w:val="00CC3D0E"/>
    <w:rsid w:val="00CD1B2D"/>
    <w:rsid w:val="00CD345A"/>
    <w:rsid w:val="00CE20DE"/>
    <w:rsid w:val="00CE71AE"/>
    <w:rsid w:val="00CE7AEF"/>
    <w:rsid w:val="00CF00DA"/>
    <w:rsid w:val="00CF37BA"/>
    <w:rsid w:val="00CF6734"/>
    <w:rsid w:val="00D02AAE"/>
    <w:rsid w:val="00D04DF1"/>
    <w:rsid w:val="00D2663E"/>
    <w:rsid w:val="00D405D6"/>
    <w:rsid w:val="00D606E2"/>
    <w:rsid w:val="00D611E0"/>
    <w:rsid w:val="00D61A47"/>
    <w:rsid w:val="00D643B8"/>
    <w:rsid w:val="00D648A7"/>
    <w:rsid w:val="00D7296A"/>
    <w:rsid w:val="00D8045D"/>
    <w:rsid w:val="00D83F88"/>
    <w:rsid w:val="00D84AB9"/>
    <w:rsid w:val="00DA74EA"/>
    <w:rsid w:val="00DB0502"/>
    <w:rsid w:val="00DE4692"/>
    <w:rsid w:val="00DF0BB7"/>
    <w:rsid w:val="00DF6456"/>
    <w:rsid w:val="00E06DE5"/>
    <w:rsid w:val="00E22C26"/>
    <w:rsid w:val="00E30078"/>
    <w:rsid w:val="00E30FFE"/>
    <w:rsid w:val="00E327A5"/>
    <w:rsid w:val="00E539A9"/>
    <w:rsid w:val="00E60C64"/>
    <w:rsid w:val="00E61564"/>
    <w:rsid w:val="00E86C3D"/>
    <w:rsid w:val="00E910A8"/>
    <w:rsid w:val="00E97A8C"/>
    <w:rsid w:val="00EA3D97"/>
    <w:rsid w:val="00EC0A95"/>
    <w:rsid w:val="00EC1732"/>
    <w:rsid w:val="00ED302A"/>
    <w:rsid w:val="00F31063"/>
    <w:rsid w:val="00F37614"/>
    <w:rsid w:val="00F469DC"/>
    <w:rsid w:val="00F46CA5"/>
    <w:rsid w:val="00F51599"/>
    <w:rsid w:val="00F56F9A"/>
    <w:rsid w:val="00F60553"/>
    <w:rsid w:val="00F668BC"/>
    <w:rsid w:val="00F67775"/>
    <w:rsid w:val="00F70A73"/>
    <w:rsid w:val="00F72EEE"/>
    <w:rsid w:val="00F85791"/>
    <w:rsid w:val="00F86F40"/>
    <w:rsid w:val="00F90C19"/>
    <w:rsid w:val="00FA55CD"/>
    <w:rsid w:val="00FB0BF7"/>
    <w:rsid w:val="00FD13BE"/>
    <w:rsid w:val="00FD1D42"/>
    <w:rsid w:val="00FD2496"/>
    <w:rsid w:val="00FD65B3"/>
    <w:rsid w:val="00FE5051"/>
    <w:rsid w:val="00FF4FB3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31"/>
  </w:style>
  <w:style w:type="paragraph" w:styleId="Footer">
    <w:name w:val="footer"/>
    <w:basedOn w:val="Normal"/>
    <w:link w:val="FooterChar"/>
    <w:uiPriority w:val="99"/>
    <w:unhideWhenUsed/>
    <w:rsid w:val="0068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31"/>
  </w:style>
  <w:style w:type="paragraph" w:styleId="NoSpacing">
    <w:name w:val="No Spacing"/>
    <w:link w:val="NoSpacingChar"/>
    <w:uiPriority w:val="1"/>
    <w:qFormat/>
    <w:rsid w:val="00D04D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4DF1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8061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7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7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8" Type="http://schemas.openxmlformats.org/officeDocument/2006/relationships/image" Target="media/image1.jpeg"/><Relationship Id="rId51" Type="http://schemas.openxmlformats.org/officeDocument/2006/relationships/chart" Target="charts/chart4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ED%20funding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Impact%20Aid%20funding%20history.xlsx" TargetMode="Externa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chartUserShapes" Target="../drawings/drawing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Teacher%20Quality%20State%20Grants%20funding%20history.xlsx" TargetMode="Externa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chartUserShapes" Target="../drawings/drawing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Math%20and%20Science%20Partnerships%20funding%20history.xlsx" TargetMode="Externa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chartUserShapes" Target="../drawings/drawing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TIF%20Funding%20History.xlsx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School%20Leadership%20Funding%20History.xlsx" TargetMode="Externa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chartUserShapes" Target="../drawings/drawing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Ed%20Tech%20State%20grants%20funding%20history.xlsx" TargetMode="Externa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chartUserShapes" Target="../drawings/drawing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21st%20CCLC%20funding%20history.xlsx" TargetMode="Externa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chartUserShapes" Target="../drawings/drawing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State%20Assessments%20funding%20history.xlsx" TargetMode="Externa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chartUserShapes" Target="../drawings/drawing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Rural%20Education%20Funding%20History.xlsx" TargetMode="Externa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chartUserShapes" Target="../drawings/drawing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ED%20minus%20Pell%20funding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Indian%20Education%20Funding%20History.xlsx" TargetMode="Externa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chartUserShapes" Target="../drawings/drawing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Race%20to%20the%20Top%20Funding%20History.xlsx" TargetMode="Externa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chartUserShapes" Target="../drawings/drawing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chartUserShapes" Target="../drawings/drawing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I3%20Funding%20History.xlsx" TargetMode="Externa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chartUserShapes" Target="../drawings/drawing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Promise%20Neighborhoods%20%20Funding%20History.xlsx" TargetMode="Externa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chartUserShapes" Target="../drawings/drawing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charter%20schools%20Funding%20History.xlsx" TargetMode="Externa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chartUserShapes" Target="../drawings/drawing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Magnet%20Schools%20Funding%20History.xlsx" TargetMode="Externa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chartUserShapes" Target="../drawings/drawing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SDFS%20State%20Grants%20Funding%20History.xlsx" TargetMode="Externa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chartUserShapes" Target="../drawings/drawing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chartUserShapes" Target="../drawings/drawing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School%20Counseling%20Funding%20History.xlsx" TargetMode="Externa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chartUserShapes" Target="../drawings/drawing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Titel%20I%20funding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ELA%20State%20grants%20Funding%20History.xlsx" TargetMode="External"/><Relationship Id="rId2" Type="http://schemas.microsoft.com/office/2011/relationships/chartColorStyle" Target="colors30.xml"/><Relationship Id="rId1" Type="http://schemas.microsoft.com/office/2011/relationships/chartStyle" Target="style30.xml"/><Relationship Id="rId4" Type="http://schemas.openxmlformats.org/officeDocument/2006/relationships/chartUserShapes" Target="../drawings/drawing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IDEA%20Part%20B%20Funding%20History.xlsx" TargetMode="Externa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chartUserShapes" Target="../drawings/drawing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IDEA%20Preschool%20Funding%20History.xlsx" TargetMode="Externa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chartUserShapes" Target="../drawings/drawing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IDEA%20Infants%20and%20Toddlers%20Funding%20History.xlsx" TargetMode="External"/><Relationship Id="rId2" Type="http://schemas.microsoft.com/office/2011/relationships/chartColorStyle" Target="colors33.xml"/><Relationship Id="rId1" Type="http://schemas.microsoft.com/office/2011/relationships/chartStyle" Target="style33.xml"/><Relationship Id="rId4" Type="http://schemas.openxmlformats.org/officeDocument/2006/relationships/chartUserShapes" Target="../drawings/drawing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CTE%20State%20Grants%20Funding%20History.xlsx" TargetMode="External"/><Relationship Id="rId2" Type="http://schemas.microsoft.com/office/2011/relationships/chartColorStyle" Target="colors34.xml"/><Relationship Id="rId1" Type="http://schemas.microsoft.com/office/2011/relationships/chartStyle" Target="style34.xml"/><Relationship Id="rId4" Type="http://schemas.openxmlformats.org/officeDocument/2006/relationships/chartUserShapes" Target="../drawings/drawing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Adult%20Education%20Funding%20History.xlsx" TargetMode="External"/><Relationship Id="rId2" Type="http://schemas.microsoft.com/office/2011/relationships/chartColorStyle" Target="colors35.xml"/><Relationship Id="rId1" Type="http://schemas.microsoft.com/office/2011/relationships/chartStyle" Target="style35.xml"/><Relationship Id="rId4" Type="http://schemas.openxmlformats.org/officeDocument/2006/relationships/chartUserShapes" Target="../drawings/drawing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Pell%20grants%20Funding%20History.xlsx" TargetMode="External"/><Relationship Id="rId2" Type="http://schemas.microsoft.com/office/2011/relationships/chartColorStyle" Target="colors36.xml"/><Relationship Id="rId1" Type="http://schemas.microsoft.com/office/2011/relationships/chartStyle" Target="style36.xml"/><Relationship Id="rId4" Type="http://schemas.openxmlformats.org/officeDocument/2006/relationships/chartUserShapes" Target="../drawings/drawing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Pell%20grants%20Funding%20History.xlsx" TargetMode="External"/><Relationship Id="rId2" Type="http://schemas.microsoft.com/office/2011/relationships/chartColorStyle" Target="colors37.xml"/><Relationship Id="rId1" Type="http://schemas.microsoft.com/office/2011/relationships/chartStyle" Target="style37.xml"/><Relationship Id="rId4" Type="http://schemas.openxmlformats.org/officeDocument/2006/relationships/chartUserShapes" Target="../drawings/drawing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SEOG%20Funding%20History.xlsx" TargetMode="External"/><Relationship Id="rId2" Type="http://schemas.microsoft.com/office/2011/relationships/chartColorStyle" Target="colors38.xml"/><Relationship Id="rId1" Type="http://schemas.microsoft.com/office/2011/relationships/chartStyle" Target="style38.xml"/><Relationship Id="rId4" Type="http://schemas.openxmlformats.org/officeDocument/2006/relationships/chartUserShapes" Target="../drawings/drawing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Work-Study%20Funding%20History.xlsx" TargetMode="External"/><Relationship Id="rId2" Type="http://schemas.microsoft.com/office/2011/relationships/chartColorStyle" Target="colors39.xml"/><Relationship Id="rId1" Type="http://schemas.microsoft.com/office/2011/relationships/chartStyle" Target="style39.xml"/><Relationship Id="rId4" Type="http://schemas.openxmlformats.org/officeDocument/2006/relationships/chartUserShapes" Target="../drawings/drawing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SIG%20funding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LEAP%20Funding%20History.xlsx" TargetMode="External"/><Relationship Id="rId2" Type="http://schemas.microsoft.com/office/2011/relationships/chartColorStyle" Target="colors40.xml"/><Relationship Id="rId1" Type="http://schemas.microsoft.com/office/2011/relationships/chartStyle" Target="style40.xml"/><Relationship Id="rId4" Type="http://schemas.openxmlformats.org/officeDocument/2006/relationships/chartUserShapes" Target="../drawings/drawing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Institutional%20Development%20Funding%20History.xlsx" TargetMode="External"/><Relationship Id="rId2" Type="http://schemas.microsoft.com/office/2011/relationships/chartColorStyle" Target="colors41.xml"/><Relationship Id="rId1" Type="http://schemas.microsoft.com/office/2011/relationships/chartStyle" Target="style41.xml"/><Relationship Id="rId4" Type="http://schemas.openxmlformats.org/officeDocument/2006/relationships/chartUserShapes" Target="../drawings/drawing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TRIO%20Funding%20History.xlsx" TargetMode="External"/><Relationship Id="rId2" Type="http://schemas.microsoft.com/office/2011/relationships/chartColorStyle" Target="colors42.xml"/><Relationship Id="rId1" Type="http://schemas.microsoft.com/office/2011/relationships/chartStyle" Target="style42.xml"/><Relationship Id="rId4" Type="http://schemas.openxmlformats.org/officeDocument/2006/relationships/chartUserShapes" Target="../drawings/drawing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GEAR%20UP%20Funding%20History.xlsx" TargetMode="External"/><Relationship Id="rId2" Type="http://schemas.microsoft.com/office/2011/relationships/chartColorStyle" Target="colors43.xml"/><Relationship Id="rId1" Type="http://schemas.microsoft.com/office/2011/relationships/chartStyle" Target="style43.xml"/><Relationship Id="rId4" Type="http://schemas.openxmlformats.org/officeDocument/2006/relationships/chartUserShapes" Target="../drawings/drawing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4.xml"/><Relationship Id="rId1" Type="http://schemas.microsoft.com/office/2011/relationships/chartStyle" Target="style44.xml"/><Relationship Id="rId4" Type="http://schemas.openxmlformats.org/officeDocument/2006/relationships/chartUserShapes" Target="../drawings/drawing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Teacher%20Quality%20Partnerships%20Funding%20History.xlsx" TargetMode="External"/><Relationship Id="rId2" Type="http://schemas.microsoft.com/office/2011/relationships/chartColorStyle" Target="colors45.xml"/><Relationship Id="rId1" Type="http://schemas.microsoft.com/office/2011/relationships/chartStyle" Target="style45.xml"/><Relationship Id="rId4" Type="http://schemas.openxmlformats.org/officeDocument/2006/relationships/chartUserShapes" Target="../drawings/drawing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IES%20-%20Research%20Funding%20History.xlsx" TargetMode="External"/><Relationship Id="rId2" Type="http://schemas.microsoft.com/office/2011/relationships/chartColorStyle" Target="colors46.xml"/><Relationship Id="rId1" Type="http://schemas.microsoft.com/office/2011/relationships/chartStyle" Target="style46.xml"/><Relationship Id="rId4" Type="http://schemas.openxmlformats.org/officeDocument/2006/relationships/chartUserShapes" Target="../drawings/drawing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Statistics%20Funding%20History.xlsx" TargetMode="External"/><Relationship Id="rId2" Type="http://schemas.microsoft.com/office/2011/relationships/chartColorStyle" Target="colors47.xml"/><Relationship Id="rId1" Type="http://schemas.microsoft.com/office/2011/relationships/chartStyle" Target="style47.xml"/><Relationship Id="rId4" Type="http://schemas.openxmlformats.org/officeDocument/2006/relationships/chartUserShapes" Target="../drawings/drawing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Head%20Start%20funding%20history.xlsx" TargetMode="External"/><Relationship Id="rId2" Type="http://schemas.microsoft.com/office/2011/relationships/chartColorStyle" Target="colors48.xml"/><Relationship Id="rId1" Type="http://schemas.microsoft.com/office/2011/relationships/chartStyle" Target="style48.xml"/><Relationship Id="rId4" Type="http://schemas.openxmlformats.org/officeDocument/2006/relationships/chartUserShapes" Target="../drawings/drawing48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Striving%20Readers%20funding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Literacy%20Through%20School%20Libraries%20funding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High%20School%20Graduation%20%20funding%20history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bengroup.com\data\rg-files\Clients\CEF\website%20redesign\Hep-Camp%20funding%20history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ED Discretionary Funding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"-"??_);_(@_)</c:formatCode>
                <c:ptCount val="18"/>
                <c:pt idx="0">
                  <c:v>49936</c:v>
                </c:pt>
                <c:pt idx="1">
                  <c:v>53114</c:v>
                </c:pt>
                <c:pt idx="2">
                  <c:v>55662</c:v>
                </c:pt>
                <c:pt idx="3">
                  <c:v>56577</c:v>
                </c:pt>
                <c:pt idx="4">
                  <c:v>57853</c:v>
                </c:pt>
                <c:pt idx="5">
                  <c:v>57483</c:v>
                </c:pt>
                <c:pt idx="6">
                  <c:v>59181</c:v>
                </c:pt>
                <c:pt idx="7">
                  <c:v>63524</c:v>
                </c:pt>
                <c:pt idx="8">
                  <c:v>96764</c:v>
                </c:pt>
                <c:pt idx="9">
                  <c:v>64135</c:v>
                </c:pt>
                <c:pt idx="10">
                  <c:v>68304</c:v>
                </c:pt>
                <c:pt idx="11">
                  <c:v>68112</c:v>
                </c:pt>
                <c:pt idx="12">
                  <c:v>65705</c:v>
                </c:pt>
                <c:pt idx="13">
                  <c:v>67302</c:v>
                </c:pt>
                <c:pt idx="14">
                  <c:v>67136</c:v>
                </c:pt>
                <c:pt idx="15">
                  <c:v>70747</c:v>
                </c:pt>
                <c:pt idx="16">
                  <c:v>64365</c:v>
                </c:pt>
                <c:pt idx="17">
                  <c:v>65773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69656"/>
        <c:axId val="346952408"/>
        <c:axId val="0"/>
      </c:bar3DChart>
      <c:catAx>
        <c:axId val="346969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2408"/>
        <c:crosses val="autoZero"/>
        <c:auto val="1"/>
        <c:lblAlgn val="ctr"/>
        <c:lblOffset val="100"/>
        <c:noMultiLvlLbl val="0"/>
      </c:catAx>
      <c:valAx>
        <c:axId val="34695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69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Neglected/Delinquent</a:t>
            </a:r>
          </a:p>
        </c:rich>
      </c:tx>
      <c:layout>
        <c:manualLayout>
          <c:xMode val="edge"/>
          <c:yMode val="edge"/>
          <c:x val="0.3687766192687453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</c:v>
                </c:pt>
                <c:pt idx="14">
                  <c:v>FY 2015 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"$"#,##0_);[Red]\("$"#,##0\)</c:formatCode>
                <c:ptCount val="18"/>
                <c:pt idx="0">
                  <c:v>48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49</c:v>
                </c:pt>
                <c:pt idx="7">
                  <c:v>50</c:v>
                </c:pt>
                <c:pt idx="8">
                  <c:v>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48</c:v>
                </c:pt>
                <c:pt idx="13" formatCode="_(&quot;$&quot;* #,##0_);_(&quot;$&quot;* \(#,##0\);_(&quot;$&quot;* &quot;-&quot;??_);_(@_)">
                  <c:v>48</c:v>
                </c:pt>
                <c:pt idx="14" formatCode="_(&quot;$&quot;* #,##0_);_(&quot;$&quot;* \(#,##0\);_(&quot;$&quot;* &quot;-&quot;_);_(@_)">
                  <c:v>48</c:v>
                </c:pt>
                <c:pt idx="15">
                  <c:v>48</c:v>
                </c:pt>
                <c:pt idx="16" formatCode="General">
                  <c:v>48</c:v>
                </c:pt>
                <c:pt idx="17" formatCode="General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62208"/>
        <c:axId val="346950056"/>
        <c:axId val="0"/>
        <c:extLst/>
      </c:bar3DChart>
      <c:catAx>
        <c:axId val="34696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0056"/>
        <c:crosses val="autoZero"/>
        <c:auto val="1"/>
        <c:lblAlgn val="ctr"/>
        <c:lblOffset val="100"/>
        <c:noMultiLvlLbl val="0"/>
      </c:catAx>
      <c:valAx>
        <c:axId val="346950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6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Impact Aid</a:t>
            </a:r>
          </a:p>
        </c:rich>
      </c:tx>
      <c:layout>
        <c:manualLayout>
          <c:xMode val="edge"/>
          <c:yMode val="edge"/>
          <c:x val="0.43985415284627877"/>
          <c:y val="1.3661202185792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D5902B">
                <a:alpha val="84706"/>
              </a:srgb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-1.5262515262515263E-3"/>
                  <c:y val="-1.1384335154826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</c:v>
                </c:pt>
                <c:pt idx="14">
                  <c:v>FY 2015 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1144</c:v>
                </c:pt>
                <c:pt idx="1">
                  <c:v>1188</c:v>
                </c:pt>
                <c:pt idx="2">
                  <c:v>1230</c:v>
                </c:pt>
                <c:pt idx="3">
                  <c:v>1244</c:v>
                </c:pt>
                <c:pt idx="4">
                  <c:v>1228</c:v>
                </c:pt>
                <c:pt idx="5">
                  <c:v>1228</c:v>
                </c:pt>
                <c:pt idx="6">
                  <c:v>1241</c:v>
                </c:pt>
                <c:pt idx="7">
                  <c:v>1266</c:v>
                </c:pt>
                <c:pt idx="8">
                  <c:v>100</c:v>
                </c:pt>
                <c:pt idx="9">
                  <c:v>1276</c:v>
                </c:pt>
                <c:pt idx="10">
                  <c:v>1274</c:v>
                </c:pt>
                <c:pt idx="11">
                  <c:v>1291</c:v>
                </c:pt>
                <c:pt idx="12">
                  <c:v>1224</c:v>
                </c:pt>
                <c:pt idx="13">
                  <c:v>1289</c:v>
                </c:pt>
                <c:pt idx="14">
                  <c:v>1289</c:v>
                </c:pt>
                <c:pt idx="15">
                  <c:v>1289</c:v>
                </c:pt>
                <c:pt idx="16">
                  <c:v>1299</c:v>
                </c:pt>
                <c:pt idx="17">
                  <c:v>1289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50840"/>
        <c:axId val="346950448"/>
        <c:axId val="0"/>
      </c:bar3DChart>
      <c:catAx>
        <c:axId val="346950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0448"/>
        <c:crosses val="autoZero"/>
        <c:auto val="1"/>
        <c:lblAlgn val="ctr"/>
        <c:lblOffset val="100"/>
        <c:noMultiLvlLbl val="0"/>
      </c:catAx>
      <c:valAx>
        <c:axId val="34695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0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 Quality State Grants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20852627975279E-2"/>
          <c:y val="0.12484247230828999"/>
          <c:w val="0.88997193406678965"/>
          <c:h val="0.6845375555492386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0"/>
                  <c:y val="-1.9253910950661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511060259343732E-3"/>
                  <c:y val="-1.9253910950661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1.444043321299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255530129672007E-3"/>
                  <c:y val="-1.444043321299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numFmt formatCode="&quot;$&quot;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1187259525582785E-16"/>
                  <c:y val="-1.444043321299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1.6847172081829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1.444043321299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3.0511060259342895E-3"/>
                  <c:y val="-4.813477737665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Sheet1!$B$1:$R$1</c:f>
              <c:strCache>
                <c:ptCount val="17"/>
                <c:pt idx="0">
                  <c:v>FY 2003</c:v>
                </c:pt>
                <c:pt idx="1">
                  <c:v>FY 2004</c:v>
                </c:pt>
                <c:pt idx="2">
                  <c:v>FY 2005</c:v>
                </c:pt>
                <c:pt idx="3">
                  <c:v>FY 2006</c:v>
                </c:pt>
                <c:pt idx="4">
                  <c:v>FY 2007</c:v>
                </c:pt>
                <c:pt idx="5">
                  <c:v>FY 2008</c:v>
                </c:pt>
                <c:pt idx="6">
                  <c:v>FY 2009</c:v>
                </c:pt>
                <c:pt idx="7">
                  <c:v>FY 2009 ARRA</c:v>
                </c:pt>
                <c:pt idx="8">
                  <c:v>FY 2010</c:v>
                </c:pt>
                <c:pt idx="9">
                  <c:v>FY 2011</c:v>
                </c:pt>
                <c:pt idx="10">
                  <c:v>FY 2012 </c:v>
                </c:pt>
                <c:pt idx="11">
                  <c:v>FY 2013 </c:v>
                </c:pt>
                <c:pt idx="12">
                  <c:v>FY 2014 </c:v>
                </c:pt>
                <c:pt idx="13">
                  <c:v>FY 2015  </c:v>
                </c:pt>
                <c:pt idx="14">
                  <c:v>FY 2016 Budget</c:v>
                </c:pt>
                <c:pt idx="15">
                  <c:v>FY 2016 House</c:v>
                </c:pt>
                <c:pt idx="16">
                  <c:v>FY 2016 Senate</c:v>
                </c:pt>
              </c:strCache>
            </c:strRef>
          </c:cat>
          <c:val>
            <c:numRef>
              <c:f>Sheet1!$B$2:$R$2</c:f>
              <c:numCache>
                <c:formatCode>_("$"* #,##0_);_("$"* \(#,##0\);_("$"* "-"_);_(@_)</c:formatCode>
                <c:ptCount val="17"/>
                <c:pt idx="0">
                  <c:v>2931</c:v>
                </c:pt>
                <c:pt idx="1">
                  <c:v>2930</c:v>
                </c:pt>
                <c:pt idx="2">
                  <c:v>2917</c:v>
                </c:pt>
                <c:pt idx="3">
                  <c:v>2887</c:v>
                </c:pt>
                <c:pt idx="4">
                  <c:v>2887</c:v>
                </c:pt>
                <c:pt idx="5">
                  <c:v>2935</c:v>
                </c:pt>
                <c:pt idx="6">
                  <c:v>2948</c:v>
                </c:pt>
                <c:pt idx="7">
                  <c:v>0</c:v>
                </c:pt>
                <c:pt idx="8">
                  <c:v>2948</c:v>
                </c:pt>
                <c:pt idx="9">
                  <c:v>2465</c:v>
                </c:pt>
                <c:pt idx="10">
                  <c:v>2467</c:v>
                </c:pt>
                <c:pt idx="11">
                  <c:v>2338</c:v>
                </c:pt>
                <c:pt idx="12">
                  <c:v>2350</c:v>
                </c:pt>
                <c:pt idx="13">
                  <c:v>2350</c:v>
                </c:pt>
                <c:pt idx="14">
                  <c:v>2350</c:v>
                </c:pt>
                <c:pt idx="15">
                  <c:v>1681</c:v>
                </c:pt>
                <c:pt idx="16">
                  <c:v>2246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53192"/>
        <c:axId val="346970440"/>
        <c:axId val="0"/>
      </c:bar3DChart>
      <c:catAx>
        <c:axId val="346953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0440"/>
        <c:crosses val="autoZero"/>
        <c:auto val="1"/>
        <c:lblAlgn val="ctr"/>
        <c:lblOffset val="100"/>
        <c:noMultiLvlLbl val="0"/>
      </c:catAx>
      <c:valAx>
        <c:axId val="346970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3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Math and Science Partnerships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208492042728228E-2"/>
          <c:y val="9.0040051346040706E-2"/>
          <c:w val="0.88997193406678965"/>
          <c:h val="0.7175126930854953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13</c:v>
                </c:pt>
                <c:pt idx="1">
                  <c:v>100</c:v>
                </c:pt>
                <c:pt idx="2">
                  <c:v>149</c:v>
                </c:pt>
                <c:pt idx="3">
                  <c:v>179</c:v>
                </c:pt>
                <c:pt idx="4">
                  <c:v>182</c:v>
                </c:pt>
                <c:pt idx="5">
                  <c:v>182</c:v>
                </c:pt>
                <c:pt idx="6">
                  <c:v>179</c:v>
                </c:pt>
                <c:pt idx="7">
                  <c:v>179</c:v>
                </c:pt>
                <c:pt idx="8">
                  <c:v>0</c:v>
                </c:pt>
                <c:pt idx="9">
                  <c:v>180</c:v>
                </c:pt>
                <c:pt idx="10">
                  <c:v>175</c:v>
                </c:pt>
                <c:pt idx="11">
                  <c:v>150</c:v>
                </c:pt>
                <c:pt idx="12">
                  <c:v>142</c:v>
                </c:pt>
                <c:pt idx="13">
                  <c:v>150</c:v>
                </c:pt>
                <c:pt idx="14">
                  <c:v>153</c:v>
                </c:pt>
                <c:pt idx="15">
                  <c:v>203</c:v>
                </c:pt>
                <c:pt idx="16">
                  <c:v>0</c:v>
                </c:pt>
                <c:pt idx="17">
                  <c:v>141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70832"/>
        <c:axId val="346971224"/>
        <c:axId val="0"/>
      </c:bar3DChart>
      <c:catAx>
        <c:axId val="346970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1224"/>
        <c:crosses val="autoZero"/>
        <c:auto val="1"/>
        <c:lblAlgn val="ctr"/>
        <c:lblOffset val="100"/>
        <c:noMultiLvlLbl val="0"/>
      </c:catAx>
      <c:valAx>
        <c:axId val="346971224"/>
        <c:scaling>
          <c:orientation val="minMax"/>
          <c:max val="225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083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 Incentive Fund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400161518271756E-2"/>
          <c:y val="0.12332228963182883"/>
          <c:w val="0.92707666349398632"/>
          <c:h val="0.8203546534142248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C00000">
                <a:alpha val="85000"/>
              </a:srgb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9"/>
              <c:layout>
                <c:manualLayout>
                  <c:x val="0"/>
                  <c:y val="-9.1074681238615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1192381897160432E-16"/>
                  <c:y val="-9.1074681238615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2.27686703096539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1192381897160432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Sheet1!$A$1:$P$1</c:f>
              <c:strCache>
                <c:ptCount val="16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 </c:v>
                </c:pt>
                <c:pt idx="15">
                  <c:v>FY 2016 Budget</c:v>
                </c:pt>
              </c:strCache>
            </c:strRef>
          </c:cat>
          <c:val>
            <c:numRef>
              <c:f>Sheet1!$A$2:$P$2</c:f>
              <c:numCache>
                <c:formatCode>_("$"* #,##0_);_("$"* \(#,##0\);_("$"* "-"?_);_(@_)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99</c:v>
                </c:pt>
                <c:pt idx="5">
                  <c:v>0.2</c:v>
                </c:pt>
                <c:pt idx="6">
                  <c:v>97.3</c:v>
                </c:pt>
                <c:pt idx="7">
                  <c:v>97.3</c:v>
                </c:pt>
                <c:pt idx="8">
                  <c:v>200</c:v>
                </c:pt>
                <c:pt idx="9">
                  <c:v>400</c:v>
                </c:pt>
                <c:pt idx="10">
                  <c:v>399.2</c:v>
                </c:pt>
                <c:pt idx="11">
                  <c:v>299.39999999999998</c:v>
                </c:pt>
                <c:pt idx="12">
                  <c:v>284</c:v>
                </c:pt>
                <c:pt idx="13">
                  <c:v>289</c:v>
                </c:pt>
                <c:pt idx="14">
                  <c:v>230</c:v>
                </c:pt>
                <c:pt idx="15">
                  <c:v>350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72008"/>
        <c:axId val="346972400"/>
        <c:axId val="0"/>
      </c:bar3DChart>
      <c:catAx>
        <c:axId val="346972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2400"/>
        <c:crosses val="autoZero"/>
        <c:auto val="1"/>
        <c:lblAlgn val="ctr"/>
        <c:lblOffset val="100"/>
        <c:noMultiLvlLbl val="0"/>
      </c:catAx>
      <c:valAx>
        <c:axId val="346972400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2008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School Leadership</a:t>
            </a:r>
            <a:br>
              <a:rPr lang="en-US"/>
            </a:b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10</c:v>
                </c:pt>
                <c:pt idx="1">
                  <c:v>12</c:v>
                </c:pt>
                <c:pt idx="2">
                  <c:v>12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19</c:v>
                </c:pt>
                <c:pt idx="8">
                  <c:v>0</c:v>
                </c:pt>
                <c:pt idx="9">
                  <c:v>29</c:v>
                </c:pt>
                <c:pt idx="10">
                  <c:v>29</c:v>
                </c:pt>
                <c:pt idx="11">
                  <c:v>29</c:v>
                </c:pt>
                <c:pt idx="12">
                  <c:v>28</c:v>
                </c:pt>
                <c:pt idx="13">
                  <c:v>26</c:v>
                </c:pt>
                <c:pt idx="14">
                  <c:v>16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73184"/>
        <c:axId val="346973576"/>
        <c:axId val="0"/>
      </c:bar3DChart>
      <c:catAx>
        <c:axId val="346973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3576"/>
        <c:crosses val="autoZero"/>
        <c:auto val="1"/>
        <c:lblAlgn val="ctr"/>
        <c:lblOffset val="100"/>
        <c:noMultiLvlLbl val="0"/>
      </c:catAx>
      <c:valAx>
        <c:axId val="346973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Education Technology State Grants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1050061050060842E-3"/>
                  <c:y val="-1.2522679029875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525030525030525E-3"/>
                  <c:y val="-9.1074681238615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1384335154826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9.1074681238615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701</c:v>
                </c:pt>
                <c:pt idx="1">
                  <c:v>696</c:v>
                </c:pt>
                <c:pt idx="2">
                  <c:v>692</c:v>
                </c:pt>
                <c:pt idx="3">
                  <c:v>496</c:v>
                </c:pt>
                <c:pt idx="4">
                  <c:v>272</c:v>
                </c:pt>
                <c:pt idx="5">
                  <c:v>272</c:v>
                </c:pt>
                <c:pt idx="6">
                  <c:v>267</c:v>
                </c:pt>
                <c:pt idx="7">
                  <c:v>270</c:v>
                </c:pt>
                <c:pt idx="8">
                  <c:v>650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200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74360"/>
        <c:axId val="346974752"/>
        <c:axId val="0"/>
      </c:bar3DChart>
      <c:catAx>
        <c:axId val="346974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4752"/>
        <c:crosses val="autoZero"/>
        <c:auto val="1"/>
        <c:lblAlgn val="ctr"/>
        <c:lblOffset val="100"/>
        <c:noMultiLvlLbl val="0"/>
      </c:catAx>
      <c:valAx>
        <c:axId val="34697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4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21st Century Community Learning Centers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7030A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-2.798095474290108E-17"/>
                  <c:y val="-4.5537340619307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5537340619308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1384335154826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596190948580216E-17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1192381897160432E-16"/>
                  <c:y val="-4.5537340619307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1000</c:v>
                </c:pt>
                <c:pt idx="1">
                  <c:v>994</c:v>
                </c:pt>
                <c:pt idx="2">
                  <c:v>999</c:v>
                </c:pt>
                <c:pt idx="3">
                  <c:v>991</c:v>
                </c:pt>
                <c:pt idx="4">
                  <c:v>981</c:v>
                </c:pt>
                <c:pt idx="5">
                  <c:v>981</c:v>
                </c:pt>
                <c:pt idx="6">
                  <c:v>1081</c:v>
                </c:pt>
                <c:pt idx="7">
                  <c:v>1131</c:v>
                </c:pt>
                <c:pt idx="8">
                  <c:v>0</c:v>
                </c:pt>
                <c:pt idx="9">
                  <c:v>1166</c:v>
                </c:pt>
                <c:pt idx="10">
                  <c:v>1154</c:v>
                </c:pt>
                <c:pt idx="11">
                  <c:v>1152</c:v>
                </c:pt>
                <c:pt idx="12">
                  <c:v>1092</c:v>
                </c:pt>
                <c:pt idx="13">
                  <c:v>1149</c:v>
                </c:pt>
                <c:pt idx="14">
                  <c:v>1152</c:v>
                </c:pt>
                <c:pt idx="15">
                  <c:v>1152</c:v>
                </c:pt>
                <c:pt idx="16">
                  <c:v>1152</c:v>
                </c:pt>
                <c:pt idx="17">
                  <c:v>1035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75536"/>
        <c:axId val="346975928"/>
        <c:axId val="0"/>
      </c:bar3DChart>
      <c:catAx>
        <c:axId val="346975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5928"/>
        <c:crosses val="autoZero"/>
        <c:auto val="1"/>
        <c:lblAlgn val="ctr"/>
        <c:lblOffset val="100"/>
        <c:noMultiLvlLbl val="0"/>
      </c:catAx>
      <c:valAx>
        <c:axId val="3469759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State Assessments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387</c:v>
                </c:pt>
                <c:pt idx="1">
                  <c:v>384</c:v>
                </c:pt>
                <c:pt idx="2">
                  <c:v>390</c:v>
                </c:pt>
                <c:pt idx="3">
                  <c:v>412</c:v>
                </c:pt>
                <c:pt idx="4">
                  <c:v>408</c:v>
                </c:pt>
                <c:pt idx="5">
                  <c:v>408</c:v>
                </c:pt>
                <c:pt idx="6">
                  <c:v>409</c:v>
                </c:pt>
                <c:pt idx="7">
                  <c:v>411</c:v>
                </c:pt>
                <c:pt idx="8">
                  <c:v>0</c:v>
                </c:pt>
                <c:pt idx="9">
                  <c:v>411</c:v>
                </c:pt>
                <c:pt idx="10">
                  <c:v>390</c:v>
                </c:pt>
                <c:pt idx="11">
                  <c:v>389</c:v>
                </c:pt>
                <c:pt idx="12">
                  <c:v>369</c:v>
                </c:pt>
                <c:pt idx="13">
                  <c:v>378</c:v>
                </c:pt>
                <c:pt idx="14">
                  <c:v>378</c:v>
                </c:pt>
                <c:pt idx="15">
                  <c:v>403</c:v>
                </c:pt>
                <c:pt idx="16">
                  <c:v>300</c:v>
                </c:pt>
                <c:pt idx="17">
                  <c:v>350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76712"/>
        <c:axId val="346977104"/>
        <c:axId val="0"/>
      </c:bar3DChart>
      <c:catAx>
        <c:axId val="346976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7104"/>
        <c:crosses val="autoZero"/>
        <c:auto val="1"/>
        <c:lblAlgn val="ctr"/>
        <c:lblOffset val="100"/>
        <c:noMultiLvlLbl val="0"/>
      </c:catAx>
      <c:valAx>
        <c:axId val="346977104"/>
        <c:scaling>
          <c:orientation val="minMax"/>
          <c:max val="4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6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Rural Education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C00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163</c:v>
                </c:pt>
                <c:pt idx="1">
                  <c:v>168</c:v>
                </c:pt>
                <c:pt idx="2">
                  <c:v>168</c:v>
                </c:pt>
                <c:pt idx="3">
                  <c:v>171</c:v>
                </c:pt>
                <c:pt idx="4">
                  <c:v>169</c:v>
                </c:pt>
                <c:pt idx="5">
                  <c:v>169</c:v>
                </c:pt>
                <c:pt idx="6">
                  <c:v>172</c:v>
                </c:pt>
                <c:pt idx="7">
                  <c:v>173</c:v>
                </c:pt>
                <c:pt idx="8">
                  <c:v>0</c:v>
                </c:pt>
                <c:pt idx="9">
                  <c:v>175</c:v>
                </c:pt>
                <c:pt idx="10">
                  <c:v>175</c:v>
                </c:pt>
                <c:pt idx="11">
                  <c:v>179</c:v>
                </c:pt>
                <c:pt idx="12">
                  <c:v>170</c:v>
                </c:pt>
                <c:pt idx="13">
                  <c:v>170</c:v>
                </c:pt>
                <c:pt idx="14">
                  <c:v>170</c:v>
                </c:pt>
                <c:pt idx="15">
                  <c:v>170</c:v>
                </c:pt>
                <c:pt idx="16">
                  <c:v>170</c:v>
                </c:pt>
                <c:pt idx="17">
                  <c:v>170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77888"/>
        <c:axId val="346978280"/>
        <c:axId val="0"/>
      </c:bar3DChart>
      <c:catAx>
        <c:axId val="34697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8280"/>
        <c:crosses val="autoZero"/>
        <c:auto val="1"/>
        <c:lblAlgn val="ctr"/>
        <c:lblOffset val="100"/>
        <c:noMultiLvlLbl val="0"/>
      </c:catAx>
      <c:valAx>
        <c:axId val="346978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7888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ED Discretionary Funding Excluding Pell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36694932364224E-2"/>
          <c:y val="9.6322620380638685E-2"/>
          <c:w val="0.895896786940094"/>
          <c:h val="0.730570240828515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38622</c:v>
                </c:pt>
                <c:pt idx="1">
                  <c:v>41749</c:v>
                </c:pt>
                <c:pt idx="2">
                  <c:v>43655</c:v>
                </c:pt>
                <c:pt idx="3">
                  <c:v>44212</c:v>
                </c:pt>
                <c:pt idx="4">
                  <c:v>43508</c:v>
                </c:pt>
                <c:pt idx="5">
                  <c:v>43881</c:v>
                </c:pt>
                <c:pt idx="6">
                  <c:v>44996</c:v>
                </c:pt>
                <c:pt idx="7">
                  <c:v>45358</c:v>
                </c:pt>
                <c:pt idx="8">
                  <c:v>81124</c:v>
                </c:pt>
                <c:pt idx="9">
                  <c:v>46640</c:v>
                </c:pt>
                <c:pt idx="10">
                  <c:v>45348</c:v>
                </c:pt>
                <c:pt idx="11" formatCode="_([$$-409]* #,##0_);_([$$-409]* \(#,##0\);_([$$-409]* &quot;-&quot;??_);_(@_)">
                  <c:v>45288</c:v>
                </c:pt>
                <c:pt idx="12">
                  <c:v>42926</c:v>
                </c:pt>
                <c:pt idx="13">
                  <c:v>44523</c:v>
                </c:pt>
                <c:pt idx="14">
                  <c:v>44660</c:v>
                </c:pt>
                <c:pt idx="15" formatCode="&quot;$&quot;#,##0_);[Red]\(&quot;$&quot;#,##0\)">
                  <c:v>48272</c:v>
                </c:pt>
                <c:pt idx="16">
                  <c:v>42259</c:v>
                </c:pt>
                <c:pt idx="17">
                  <c:v>43298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55544"/>
        <c:axId val="346966912"/>
        <c:axId val="0"/>
      </c:bar3DChart>
      <c:catAx>
        <c:axId val="346955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66912"/>
        <c:crosses val="autoZero"/>
        <c:auto val="1"/>
        <c:lblAlgn val="ctr"/>
        <c:lblOffset val="100"/>
        <c:noMultiLvlLbl val="0"/>
      </c:catAx>
      <c:valAx>
        <c:axId val="34696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5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Indian Education</a:t>
            </a:r>
          </a:p>
        </c:rich>
      </c:tx>
      <c:layout>
        <c:manualLayout>
          <c:xMode val="edge"/>
          <c:yMode val="edge"/>
          <c:x val="0.40221421406992314"/>
          <c:y val="1.7993165813289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0.12562873800610988"/>
          <c:w val="0.90159093337164753"/>
          <c:h val="0.6732337248827503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5262515262515263E-3"/>
                  <c:y val="-4.5537340619307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83060109289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96190948580216E-17"/>
                  <c:y val="-1.1384335154826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596190948580216E-17"/>
                  <c:y val="-9.1074681238615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120</c:v>
                </c:pt>
                <c:pt idx="1">
                  <c:v>122</c:v>
                </c:pt>
                <c:pt idx="2">
                  <c:v>121</c:v>
                </c:pt>
                <c:pt idx="3">
                  <c:v>120</c:v>
                </c:pt>
                <c:pt idx="4">
                  <c:v>119</c:v>
                </c:pt>
                <c:pt idx="5">
                  <c:v>119</c:v>
                </c:pt>
                <c:pt idx="6">
                  <c:v>120</c:v>
                </c:pt>
                <c:pt idx="7">
                  <c:v>122</c:v>
                </c:pt>
                <c:pt idx="8">
                  <c:v>0</c:v>
                </c:pt>
                <c:pt idx="9">
                  <c:v>127</c:v>
                </c:pt>
                <c:pt idx="10">
                  <c:v>127</c:v>
                </c:pt>
                <c:pt idx="11">
                  <c:v>131</c:v>
                </c:pt>
                <c:pt idx="12">
                  <c:v>124</c:v>
                </c:pt>
                <c:pt idx="13">
                  <c:v>124</c:v>
                </c:pt>
                <c:pt idx="14">
                  <c:v>124</c:v>
                </c:pt>
                <c:pt idx="15">
                  <c:v>174</c:v>
                </c:pt>
                <c:pt idx="16">
                  <c:v>144</c:v>
                </c:pt>
                <c:pt idx="17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46979064"/>
        <c:axId val="346979456"/>
        <c:axId val="0"/>
      </c:bar3DChart>
      <c:catAx>
        <c:axId val="346979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9456"/>
        <c:crosses val="autoZero"/>
        <c:auto val="1"/>
        <c:lblAlgn val="ctr"/>
        <c:lblOffset val="100"/>
        <c:noMultiLvlLbl val="0"/>
      </c:catAx>
      <c:valAx>
        <c:axId val="34697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7906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Race To The Top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F1141">
                <a:alpha val="84706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4350</c:v>
                </c:pt>
                <c:pt idx="9">
                  <c:v>0</c:v>
                </c:pt>
                <c:pt idx="10">
                  <c:v>699</c:v>
                </c:pt>
                <c:pt idx="11">
                  <c:v>549</c:v>
                </c:pt>
                <c:pt idx="12">
                  <c:v>520</c:v>
                </c:pt>
                <c:pt idx="13">
                  <c:v>250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80240"/>
        <c:axId val="346980632"/>
        <c:axId val="0"/>
      </c:bar3DChart>
      <c:catAx>
        <c:axId val="346980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80632"/>
        <c:crosses val="autoZero"/>
        <c:auto val="1"/>
        <c:lblAlgn val="ctr"/>
        <c:lblOffset val="100"/>
        <c:noMultiLvlLbl val="0"/>
      </c:catAx>
      <c:valAx>
        <c:axId val="346980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8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Preschool Development Grants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250</c:v>
                </c:pt>
                <c:pt idx="14">
                  <c:v>250</c:v>
                </c:pt>
                <c:pt idx="15" formatCode="General">
                  <c:v>750</c:v>
                </c:pt>
                <c:pt idx="16" formatCode="General">
                  <c:v>0</c:v>
                </c:pt>
                <c:pt idx="17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46981416"/>
        <c:axId val="346981808"/>
        <c:axId val="0"/>
      </c:bar3DChart>
      <c:catAx>
        <c:axId val="346981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81808"/>
        <c:crosses val="autoZero"/>
        <c:auto val="1"/>
        <c:lblAlgn val="ctr"/>
        <c:lblOffset val="100"/>
        <c:noMultiLvlLbl val="0"/>
      </c:catAx>
      <c:valAx>
        <c:axId val="34698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81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Investing in Innovation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Sheet1!$C$1:$R$1</c:f>
              <c:strCache>
                <c:ptCount val="16"/>
                <c:pt idx="0">
                  <c:v>FY 2004</c:v>
                </c:pt>
                <c:pt idx="1">
                  <c:v>FY 2005</c:v>
                </c:pt>
                <c:pt idx="2">
                  <c:v>FY 2006</c:v>
                </c:pt>
                <c:pt idx="3">
                  <c:v>FY 2007</c:v>
                </c:pt>
                <c:pt idx="4">
                  <c:v>FY 2008</c:v>
                </c:pt>
                <c:pt idx="5">
                  <c:v>FY 2009</c:v>
                </c:pt>
                <c:pt idx="6">
                  <c:v>FY 09 ARRA</c:v>
                </c:pt>
                <c:pt idx="7">
                  <c:v>FY 2010</c:v>
                </c:pt>
                <c:pt idx="8">
                  <c:v>FY 2011</c:v>
                </c:pt>
                <c:pt idx="9">
                  <c:v>FY 2012 </c:v>
                </c:pt>
                <c:pt idx="10">
                  <c:v>FY 2013 </c:v>
                </c:pt>
                <c:pt idx="11">
                  <c:v>FY 2014 </c:v>
                </c:pt>
                <c:pt idx="12">
                  <c:v>FY 2015 </c:v>
                </c:pt>
                <c:pt idx="13">
                  <c:v>FY 2016 Budget</c:v>
                </c:pt>
                <c:pt idx="14">
                  <c:v>FY 2016 House</c:v>
                </c:pt>
                <c:pt idx="15">
                  <c:v>FY 2016 Senate</c:v>
                </c:pt>
              </c:strCache>
            </c:strRef>
          </c:cat>
          <c:val>
            <c:numRef>
              <c:f>Sheet1!$C$2:$R$2</c:f>
              <c:numCache>
                <c:formatCode>_("$"* #,##0_);_("$"* \(#,##0\);_("$"* "-"_);_(@_)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650</c:v>
                </c:pt>
                <c:pt idx="7">
                  <c:v>0</c:v>
                </c:pt>
                <c:pt idx="8">
                  <c:v>150</c:v>
                </c:pt>
                <c:pt idx="9">
                  <c:v>149</c:v>
                </c:pt>
                <c:pt idx="10">
                  <c:v>142</c:v>
                </c:pt>
                <c:pt idx="11">
                  <c:v>142</c:v>
                </c:pt>
                <c:pt idx="12">
                  <c:v>120</c:v>
                </c:pt>
                <c:pt idx="13">
                  <c:v>300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38248984"/>
        <c:axId val="438248200"/>
        <c:axId val="0"/>
      </c:bar3DChart>
      <c:catAx>
        <c:axId val="438248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248200"/>
        <c:crosses val="autoZero"/>
        <c:auto val="1"/>
        <c:lblAlgn val="ctr"/>
        <c:lblOffset val="100"/>
        <c:noMultiLvlLbl val="0"/>
      </c:catAx>
      <c:valAx>
        <c:axId val="43824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248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Promise Neighborhoods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</c:v>
                </c:pt>
                <c:pt idx="10">
                  <c:v>30</c:v>
                </c:pt>
                <c:pt idx="11">
                  <c:v>60</c:v>
                </c:pt>
                <c:pt idx="12">
                  <c:v>57</c:v>
                </c:pt>
                <c:pt idx="13">
                  <c:v>57</c:v>
                </c:pt>
                <c:pt idx="14">
                  <c:v>57</c:v>
                </c:pt>
                <c:pt idx="15">
                  <c:v>150</c:v>
                </c:pt>
                <c:pt idx="16">
                  <c:v>57</c:v>
                </c:pt>
                <c:pt idx="17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3791448"/>
        <c:axId val="419287816"/>
        <c:axId val="0"/>
      </c:bar3DChart>
      <c:catAx>
        <c:axId val="53791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287816"/>
        <c:crosses val="autoZero"/>
        <c:auto val="1"/>
        <c:lblAlgn val="ctr"/>
        <c:lblOffset val="100"/>
        <c:noMultiLvlLbl val="0"/>
      </c:catAx>
      <c:valAx>
        <c:axId val="419287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91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Charter Schools Grants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959666056534"/>
          <c:y val="9.8276752291209496E-2"/>
          <c:w val="0.888770344403226"/>
          <c:h val="0.7077282604018760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8"/>
              <c:numFmt formatCode="&quot;$&quot;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1196654124772145E-16"/>
                  <c:y val="-1.593806921675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5268341094741176E-3"/>
                  <c:y val="-4.5537340619307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200</c:v>
                </c:pt>
                <c:pt idx="1">
                  <c:v>199</c:v>
                </c:pt>
                <c:pt idx="2">
                  <c:v>219</c:v>
                </c:pt>
                <c:pt idx="3">
                  <c:v>217</c:v>
                </c:pt>
                <c:pt idx="4">
                  <c:v>215</c:v>
                </c:pt>
                <c:pt idx="5">
                  <c:v>215</c:v>
                </c:pt>
                <c:pt idx="6">
                  <c:v>211</c:v>
                </c:pt>
                <c:pt idx="7">
                  <c:v>216</c:v>
                </c:pt>
                <c:pt idx="8">
                  <c:v>0</c:v>
                </c:pt>
                <c:pt idx="9">
                  <c:v>256</c:v>
                </c:pt>
                <c:pt idx="10">
                  <c:v>256</c:v>
                </c:pt>
                <c:pt idx="11">
                  <c:v>255</c:v>
                </c:pt>
                <c:pt idx="12">
                  <c:v>242</c:v>
                </c:pt>
                <c:pt idx="13">
                  <c:v>248</c:v>
                </c:pt>
                <c:pt idx="14">
                  <c:v>253</c:v>
                </c:pt>
                <c:pt idx="15">
                  <c:v>375</c:v>
                </c:pt>
                <c:pt idx="16">
                  <c:v>275</c:v>
                </c:pt>
                <c:pt idx="17">
                  <c:v>273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71160"/>
        <c:axId val="444471552"/>
        <c:axId val="0"/>
      </c:bar3DChart>
      <c:catAx>
        <c:axId val="444471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1552"/>
        <c:crosses val="autoZero"/>
        <c:auto val="1"/>
        <c:lblAlgn val="ctr"/>
        <c:lblOffset val="100"/>
        <c:noMultiLvlLbl val="0"/>
      </c:catAx>
      <c:valAx>
        <c:axId val="44447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1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Magnet Schools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110</c:v>
                </c:pt>
                <c:pt idx="1">
                  <c:v>110</c:v>
                </c:pt>
                <c:pt idx="2">
                  <c:v>109</c:v>
                </c:pt>
                <c:pt idx="3">
                  <c:v>108</c:v>
                </c:pt>
                <c:pt idx="4">
                  <c:v>107</c:v>
                </c:pt>
                <c:pt idx="5">
                  <c:v>107</c:v>
                </c:pt>
                <c:pt idx="6">
                  <c:v>105</c:v>
                </c:pt>
                <c:pt idx="7">
                  <c:v>105</c:v>
                </c:pt>
                <c:pt idx="8">
                  <c:v>0</c:v>
                </c:pt>
                <c:pt idx="9">
                  <c:v>100</c:v>
                </c:pt>
                <c:pt idx="10">
                  <c:v>100</c:v>
                </c:pt>
                <c:pt idx="11">
                  <c:v>97</c:v>
                </c:pt>
                <c:pt idx="12">
                  <c:v>92</c:v>
                </c:pt>
                <c:pt idx="13">
                  <c:v>92</c:v>
                </c:pt>
                <c:pt idx="14">
                  <c:v>92</c:v>
                </c:pt>
                <c:pt idx="15">
                  <c:v>92</c:v>
                </c:pt>
                <c:pt idx="16">
                  <c:v>0</c:v>
                </c:pt>
                <c:pt idx="17">
                  <c:v>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71944"/>
        <c:axId val="444472336"/>
        <c:axId val="0"/>
      </c:bar3DChart>
      <c:catAx>
        <c:axId val="444471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2336"/>
        <c:crosses val="autoZero"/>
        <c:auto val="1"/>
        <c:lblAlgn val="ctr"/>
        <c:lblOffset val="100"/>
        <c:noMultiLvlLbl val="0"/>
      </c:catAx>
      <c:valAx>
        <c:axId val="44447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194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Safe and Drug-Free Schools State Grants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0.1096610874460367"/>
          <c:w val="0.90159093337164797"/>
          <c:h val="0.6926826513489092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7030A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6"/>
              <c:layout>
                <c:manualLayout>
                  <c:x val="0"/>
                  <c:y val="-1.138433515482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262515262515263E-3"/>
                  <c:y val="-1.138433515482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472</c:v>
                </c:pt>
                <c:pt idx="1">
                  <c:v>469</c:v>
                </c:pt>
                <c:pt idx="2">
                  <c:v>441</c:v>
                </c:pt>
                <c:pt idx="3">
                  <c:v>437</c:v>
                </c:pt>
                <c:pt idx="4">
                  <c:v>347</c:v>
                </c:pt>
                <c:pt idx="5">
                  <c:v>347</c:v>
                </c:pt>
                <c:pt idx="6">
                  <c:v>295</c:v>
                </c:pt>
                <c:pt idx="7">
                  <c:v>295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73120"/>
        <c:axId val="444473512"/>
        <c:axId val="0"/>
      </c:bar3DChart>
      <c:catAx>
        <c:axId val="444473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3512"/>
        <c:crosses val="autoZero"/>
        <c:auto val="1"/>
        <c:lblAlgn val="ctr"/>
        <c:lblOffset val="100"/>
        <c:noMultiLvlLbl val="0"/>
      </c:catAx>
      <c:valAx>
        <c:axId val="44447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3120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Safe and Drug-Free Schools National Activities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spPr>
            <a:solidFill>
              <a:srgbClr val="C4C820">
                <a:alpha val="84706"/>
              </a:srgb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</c:v>
                </c:pt>
                <c:pt idx="12">
                  <c:v>FY 2013</c:v>
                </c:pt>
                <c:pt idx="13">
                  <c:v>FY 2014</c:v>
                </c:pt>
                <c:pt idx="14">
                  <c:v>FY 2105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"-"??_);_(@_)</c:formatCode>
                <c:ptCount val="18"/>
                <c:pt idx="0">
                  <c:v>200</c:v>
                </c:pt>
                <c:pt idx="1">
                  <c:v>197</c:v>
                </c:pt>
                <c:pt idx="2">
                  <c:v>233</c:v>
                </c:pt>
                <c:pt idx="3">
                  <c:v>235</c:v>
                </c:pt>
                <c:pt idx="4">
                  <c:v>222</c:v>
                </c:pt>
                <c:pt idx="5">
                  <c:v>231</c:v>
                </c:pt>
                <c:pt idx="6">
                  <c:v>219</c:v>
                </c:pt>
                <c:pt idx="7">
                  <c:v>220</c:v>
                </c:pt>
                <c:pt idx="8">
                  <c:v>0</c:v>
                </c:pt>
                <c:pt idx="9">
                  <c:v>224</c:v>
                </c:pt>
                <c:pt idx="10">
                  <c:v>126</c:v>
                </c:pt>
                <c:pt idx="11">
                  <c:v>65</c:v>
                </c:pt>
                <c:pt idx="12">
                  <c:v>61</c:v>
                </c:pt>
                <c:pt idx="13">
                  <c:v>90</c:v>
                </c:pt>
                <c:pt idx="14">
                  <c:v>70</c:v>
                </c:pt>
                <c:pt idx="15">
                  <c:v>90</c:v>
                </c:pt>
                <c:pt idx="16">
                  <c:v>0</c:v>
                </c:pt>
                <c:pt idx="17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74296"/>
        <c:axId val="444474688"/>
        <c:axId val="0"/>
        <c:extLst/>
      </c:bar3DChart>
      <c:catAx>
        <c:axId val="44447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4688"/>
        <c:crosses val="autoZero"/>
        <c:auto val="1"/>
        <c:lblAlgn val="ctr"/>
        <c:lblOffset val="100"/>
        <c:noMultiLvlLbl val="0"/>
      </c:catAx>
      <c:valAx>
        <c:axId val="44447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Elementary and Secondary School Counseling </a:t>
            </a:r>
            <a:br>
              <a:rPr lang="en-US"/>
            </a:b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751809869920107E-2"/>
          <c:y val="0.10991584556028856"/>
          <c:w val="0.92845942334131315"/>
          <c:h val="0.7104027723993516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33</c:v>
                </c:pt>
                <c:pt idx="1">
                  <c:v>33</c:v>
                </c:pt>
                <c:pt idx="2">
                  <c:v>34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49</c:v>
                </c:pt>
                <c:pt idx="7">
                  <c:v>52</c:v>
                </c:pt>
                <c:pt idx="8">
                  <c:v>0</c:v>
                </c:pt>
                <c:pt idx="9">
                  <c:v>55</c:v>
                </c:pt>
                <c:pt idx="10">
                  <c:v>52</c:v>
                </c:pt>
                <c:pt idx="11">
                  <c:v>52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0</c:v>
                </c:pt>
                <c:pt idx="17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44475472"/>
        <c:axId val="444475864"/>
        <c:axId val="0"/>
      </c:bar3DChart>
      <c:catAx>
        <c:axId val="444475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5864"/>
        <c:crosses val="autoZero"/>
        <c:auto val="1"/>
        <c:lblAlgn val="ctr"/>
        <c:lblOffset val="100"/>
        <c:noMultiLvlLbl val="0"/>
      </c:catAx>
      <c:valAx>
        <c:axId val="44447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547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ESEA Title I Grants to Local Educational Agencies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558358408860219E-2"/>
          <c:y val="9.8521225802406104E-2"/>
          <c:w val="0.88766055844850056"/>
          <c:h val="0.7110427920059481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0"/>
                  <c:y val="-1.1384335154826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</c:v>
                </c:pt>
                <c:pt idx="12">
                  <c:v>FY 2013</c:v>
                </c:pt>
                <c:pt idx="13">
                  <c:v>FY 2014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"-"??_);_(@_)</c:formatCode>
                <c:ptCount val="18"/>
                <c:pt idx="0">
                  <c:v>10350</c:v>
                </c:pt>
                <c:pt idx="1">
                  <c:v>11689</c:v>
                </c:pt>
                <c:pt idx="2">
                  <c:v>12342</c:v>
                </c:pt>
                <c:pt idx="3">
                  <c:v>12740</c:v>
                </c:pt>
                <c:pt idx="4">
                  <c:v>12713</c:v>
                </c:pt>
                <c:pt idx="5">
                  <c:v>12838</c:v>
                </c:pt>
                <c:pt idx="6">
                  <c:v>13899</c:v>
                </c:pt>
                <c:pt idx="7">
                  <c:v>14492</c:v>
                </c:pt>
                <c:pt idx="8">
                  <c:v>10000</c:v>
                </c:pt>
                <c:pt idx="9">
                  <c:v>14492</c:v>
                </c:pt>
                <c:pt idx="10">
                  <c:v>14443</c:v>
                </c:pt>
                <c:pt idx="11">
                  <c:v>14516</c:v>
                </c:pt>
                <c:pt idx="12">
                  <c:v>13760</c:v>
                </c:pt>
                <c:pt idx="13">
                  <c:v>14385</c:v>
                </c:pt>
                <c:pt idx="14">
                  <c:v>14410</c:v>
                </c:pt>
                <c:pt idx="15">
                  <c:v>15410</c:v>
                </c:pt>
                <c:pt idx="16">
                  <c:v>14410</c:v>
                </c:pt>
                <c:pt idx="17" formatCode="#,##0">
                  <c:v>14560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57112"/>
        <c:axId val="346951624"/>
        <c:axId val="0"/>
      </c:bar3DChart>
      <c:catAx>
        <c:axId val="346957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1624"/>
        <c:crosses val="autoZero"/>
        <c:auto val="1"/>
        <c:lblAlgn val="ctr"/>
        <c:lblOffset val="100"/>
        <c:noMultiLvlLbl val="0"/>
      </c:catAx>
      <c:valAx>
        <c:axId val="34695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7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English Language Acquisition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0.11649168853893263"/>
          <c:w val="0.90159093337164797"/>
          <c:h val="0.696343925247049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664</c:v>
                </c:pt>
                <c:pt idx="1">
                  <c:v>684</c:v>
                </c:pt>
                <c:pt idx="2">
                  <c:v>681</c:v>
                </c:pt>
                <c:pt idx="3">
                  <c:v>676</c:v>
                </c:pt>
                <c:pt idx="4">
                  <c:v>669</c:v>
                </c:pt>
                <c:pt idx="5">
                  <c:v>669</c:v>
                </c:pt>
                <c:pt idx="6">
                  <c:v>700</c:v>
                </c:pt>
                <c:pt idx="7">
                  <c:v>730</c:v>
                </c:pt>
                <c:pt idx="8">
                  <c:v>0</c:v>
                </c:pt>
                <c:pt idx="9">
                  <c:v>750</c:v>
                </c:pt>
                <c:pt idx="10">
                  <c:v>734</c:v>
                </c:pt>
                <c:pt idx="11">
                  <c:v>732</c:v>
                </c:pt>
                <c:pt idx="12">
                  <c:v>694</c:v>
                </c:pt>
                <c:pt idx="13">
                  <c:v>723</c:v>
                </c:pt>
                <c:pt idx="14">
                  <c:v>737</c:v>
                </c:pt>
                <c:pt idx="15">
                  <c:v>773</c:v>
                </c:pt>
                <c:pt idx="16">
                  <c:v>737</c:v>
                </c:pt>
                <c:pt idx="17">
                  <c:v>712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76648"/>
        <c:axId val="444477040"/>
        <c:axId val="0"/>
      </c:bar3DChart>
      <c:catAx>
        <c:axId val="444476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7040"/>
        <c:crosses val="autoZero"/>
        <c:auto val="1"/>
        <c:lblAlgn val="ctr"/>
        <c:lblOffset val="100"/>
        <c:noMultiLvlLbl val="0"/>
      </c:catAx>
      <c:valAx>
        <c:axId val="44447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6648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Special Education State Grants (IDEA Part B - Sec. 611)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83188639881553E-2"/>
          <c:y val="0.1255991566627942"/>
          <c:w val="0.90159093337164797"/>
          <c:h val="0.7991428581673192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206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7529</c:v>
                </c:pt>
                <c:pt idx="1">
                  <c:v>8874</c:v>
                </c:pt>
                <c:pt idx="2">
                  <c:v>10068</c:v>
                </c:pt>
                <c:pt idx="3">
                  <c:v>10590</c:v>
                </c:pt>
                <c:pt idx="4">
                  <c:v>10583</c:v>
                </c:pt>
                <c:pt idx="5">
                  <c:v>10783</c:v>
                </c:pt>
                <c:pt idx="6">
                  <c:v>10948</c:v>
                </c:pt>
                <c:pt idx="7">
                  <c:v>11505</c:v>
                </c:pt>
                <c:pt idx="8">
                  <c:v>11300</c:v>
                </c:pt>
                <c:pt idx="9">
                  <c:v>11505</c:v>
                </c:pt>
                <c:pt idx="10">
                  <c:v>11466</c:v>
                </c:pt>
                <c:pt idx="11">
                  <c:v>11578</c:v>
                </c:pt>
                <c:pt idx="12">
                  <c:v>10975</c:v>
                </c:pt>
                <c:pt idx="13">
                  <c:v>11473</c:v>
                </c:pt>
                <c:pt idx="14">
                  <c:v>11498</c:v>
                </c:pt>
                <c:pt idx="15">
                  <c:v>11673</c:v>
                </c:pt>
                <c:pt idx="16">
                  <c:v>12000</c:v>
                </c:pt>
                <c:pt idx="17">
                  <c:v>11598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77824"/>
        <c:axId val="444478216"/>
        <c:axId val="0"/>
      </c:bar3DChart>
      <c:catAx>
        <c:axId val="444477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8216"/>
        <c:crosses val="autoZero"/>
        <c:auto val="1"/>
        <c:lblAlgn val="ctr"/>
        <c:lblOffset val="100"/>
        <c:noMultiLvlLbl val="0"/>
      </c:catAx>
      <c:valAx>
        <c:axId val="444478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Special Education Preschool Grants (IDEA Part B - Sec. 619)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9.1446151198313327E-2"/>
          <c:w val="0.90159093337164797"/>
          <c:h val="0.7213894625876683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70C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390</c:v>
                </c:pt>
                <c:pt idx="1">
                  <c:v>387</c:v>
                </c:pt>
                <c:pt idx="2">
                  <c:v>388</c:v>
                </c:pt>
                <c:pt idx="3">
                  <c:v>385</c:v>
                </c:pt>
                <c:pt idx="4">
                  <c:v>381</c:v>
                </c:pt>
                <c:pt idx="5">
                  <c:v>381</c:v>
                </c:pt>
                <c:pt idx="6">
                  <c:v>374</c:v>
                </c:pt>
                <c:pt idx="7">
                  <c:v>374</c:v>
                </c:pt>
                <c:pt idx="8">
                  <c:v>400</c:v>
                </c:pt>
                <c:pt idx="9">
                  <c:v>374</c:v>
                </c:pt>
                <c:pt idx="10">
                  <c:v>373</c:v>
                </c:pt>
                <c:pt idx="11">
                  <c:v>373</c:v>
                </c:pt>
                <c:pt idx="12">
                  <c:v>353</c:v>
                </c:pt>
                <c:pt idx="13">
                  <c:v>353</c:v>
                </c:pt>
                <c:pt idx="14">
                  <c:v>353</c:v>
                </c:pt>
                <c:pt idx="15">
                  <c:v>403</c:v>
                </c:pt>
                <c:pt idx="16">
                  <c:v>353</c:v>
                </c:pt>
                <c:pt idx="17">
                  <c:v>363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79000"/>
        <c:axId val="444479392"/>
        <c:axId val="0"/>
      </c:bar3DChart>
      <c:catAx>
        <c:axId val="444479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9392"/>
        <c:crosses val="autoZero"/>
        <c:auto val="1"/>
        <c:lblAlgn val="ctr"/>
        <c:lblOffset val="100"/>
        <c:noMultiLvlLbl val="0"/>
      </c:catAx>
      <c:valAx>
        <c:axId val="444479392"/>
        <c:scaling>
          <c:orientation val="minMax"/>
          <c:max val="4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79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Special Education Grants for Infants and Families (IDEA Part C)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9.5999885260244111E-2"/>
          <c:w val="0.90159093337164797"/>
          <c:h val="0.7213894625876683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417</c:v>
                </c:pt>
                <c:pt idx="1">
                  <c:v>434</c:v>
                </c:pt>
                <c:pt idx="2">
                  <c:v>444</c:v>
                </c:pt>
                <c:pt idx="3">
                  <c:v>441</c:v>
                </c:pt>
                <c:pt idx="4">
                  <c:v>436</c:v>
                </c:pt>
                <c:pt idx="5">
                  <c:v>436</c:v>
                </c:pt>
                <c:pt idx="6">
                  <c:v>436</c:v>
                </c:pt>
                <c:pt idx="7">
                  <c:v>439</c:v>
                </c:pt>
                <c:pt idx="8">
                  <c:v>500</c:v>
                </c:pt>
                <c:pt idx="9">
                  <c:v>439</c:v>
                </c:pt>
                <c:pt idx="10">
                  <c:v>439</c:v>
                </c:pt>
                <c:pt idx="11">
                  <c:v>443</c:v>
                </c:pt>
                <c:pt idx="12">
                  <c:v>420</c:v>
                </c:pt>
                <c:pt idx="13">
                  <c:v>438</c:v>
                </c:pt>
                <c:pt idx="14">
                  <c:v>439</c:v>
                </c:pt>
                <c:pt idx="15">
                  <c:v>504</c:v>
                </c:pt>
                <c:pt idx="16">
                  <c:v>439</c:v>
                </c:pt>
                <c:pt idx="17">
                  <c:v>453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80176"/>
        <c:axId val="444480568"/>
        <c:axId val="0"/>
      </c:bar3DChart>
      <c:catAx>
        <c:axId val="444480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0568"/>
        <c:crosses val="autoZero"/>
        <c:auto val="1"/>
        <c:lblAlgn val="ctr"/>
        <c:lblOffset val="100"/>
        <c:noMultiLvlLbl val="0"/>
      </c:catAx>
      <c:valAx>
        <c:axId val="444480568"/>
        <c:scaling>
          <c:orientation val="minMax"/>
          <c:max val="5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Carer and Technical Education State Grants</a:t>
            </a:r>
          </a:p>
        </c:rich>
      </c:tx>
      <c:layout>
        <c:manualLayout>
          <c:xMode val="edge"/>
          <c:yMode val="edge"/>
          <c:x val="0.2522397440704527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404685970317786E-2"/>
          <c:y val="0.10751222695523716"/>
          <c:w val="0.90159093337164797"/>
          <c:h val="0.7098771208926751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5263116148942781E-3"/>
                  <c:y val="-1.4799635701275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98095474290108E-17"/>
                  <c:y val="-1.366120218579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96190948580216E-17"/>
                  <c:y val="-1.1384335154826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93806921675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96190948580216E-17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1180</c:v>
                </c:pt>
                <c:pt idx="1">
                  <c:v>1192</c:v>
                </c:pt>
                <c:pt idx="2">
                  <c:v>1195</c:v>
                </c:pt>
                <c:pt idx="3">
                  <c:v>1194</c:v>
                </c:pt>
                <c:pt idx="4">
                  <c:v>1182</c:v>
                </c:pt>
                <c:pt idx="5">
                  <c:v>1182</c:v>
                </c:pt>
                <c:pt idx="6">
                  <c:v>1161</c:v>
                </c:pt>
                <c:pt idx="7">
                  <c:v>1161</c:v>
                </c:pt>
                <c:pt idx="8">
                  <c:v>0</c:v>
                </c:pt>
                <c:pt idx="9">
                  <c:v>1161</c:v>
                </c:pt>
                <c:pt idx="10">
                  <c:v>1122</c:v>
                </c:pt>
                <c:pt idx="11">
                  <c:v>1123</c:v>
                </c:pt>
                <c:pt idx="12">
                  <c:v>1064</c:v>
                </c:pt>
                <c:pt idx="13">
                  <c:v>1118</c:v>
                </c:pt>
                <c:pt idx="14">
                  <c:v>1118</c:v>
                </c:pt>
                <c:pt idx="15">
                  <c:v>1318</c:v>
                </c:pt>
                <c:pt idx="16">
                  <c:v>1118</c:v>
                </c:pt>
                <c:pt idx="17">
                  <c:v>1118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81352"/>
        <c:axId val="444481744"/>
        <c:axId val="0"/>
      </c:bar3DChart>
      <c:catAx>
        <c:axId val="444481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1744"/>
        <c:crosses val="autoZero"/>
        <c:auto val="1"/>
        <c:lblAlgn val="ctr"/>
        <c:lblOffset val="100"/>
        <c:noMultiLvlLbl val="0"/>
      </c:catAx>
      <c:valAx>
        <c:axId val="444481744"/>
        <c:scaling>
          <c:orientation val="minMax"/>
          <c:max val="14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1352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Adult Education State Grants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745892340380533E-2"/>
          <c:y val="0.11495776142736257"/>
          <c:w val="0.89054820932709511"/>
          <c:h val="0.7097526999698807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E8ED13">
                <a:alpha val="84706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10"/>
              <c:layout>
                <c:manualLayout>
                  <c:x val="0"/>
                  <c:y val="-1.1384335154826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1192381897160432E-16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-2.2768670309654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575</c:v>
                </c:pt>
                <c:pt idx="1">
                  <c:v>571</c:v>
                </c:pt>
                <c:pt idx="2">
                  <c:v>574</c:v>
                </c:pt>
                <c:pt idx="3">
                  <c:v>570</c:v>
                </c:pt>
                <c:pt idx="4">
                  <c:v>564</c:v>
                </c:pt>
                <c:pt idx="5">
                  <c:v>564</c:v>
                </c:pt>
                <c:pt idx="6">
                  <c:v>554</c:v>
                </c:pt>
                <c:pt idx="7">
                  <c:v>554</c:v>
                </c:pt>
                <c:pt idx="8">
                  <c:v>0</c:v>
                </c:pt>
                <c:pt idx="9">
                  <c:v>628</c:v>
                </c:pt>
                <c:pt idx="10">
                  <c:v>596</c:v>
                </c:pt>
                <c:pt idx="11">
                  <c:v>595</c:v>
                </c:pt>
                <c:pt idx="12">
                  <c:v>564</c:v>
                </c:pt>
                <c:pt idx="13">
                  <c:v>564</c:v>
                </c:pt>
                <c:pt idx="14">
                  <c:v>569</c:v>
                </c:pt>
                <c:pt idx="15">
                  <c:v>569</c:v>
                </c:pt>
                <c:pt idx="16">
                  <c:v>569</c:v>
                </c:pt>
                <c:pt idx="17">
                  <c:v>540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44482528"/>
        <c:axId val="444482920"/>
        <c:axId val="0"/>
      </c:bar3DChart>
      <c:catAx>
        <c:axId val="444482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2920"/>
        <c:crosses val="autoZero"/>
        <c:auto val="1"/>
        <c:lblAlgn val="ctr"/>
        <c:lblOffset val="100"/>
        <c:noMultiLvlLbl val="0"/>
      </c:catAx>
      <c:valAx>
        <c:axId val="444482920"/>
        <c:scaling>
          <c:orientation val="minMax"/>
          <c:max val="7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2528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Pell Grants - Discretionary Appropriation</a:t>
            </a:r>
          </a:p>
        </c:rich>
      </c:tx>
      <c:layout>
        <c:manualLayout>
          <c:xMode val="edge"/>
          <c:yMode val="edge"/>
          <c:x val="0.30396316882471142"/>
          <c:y val="8.658008658008697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412801122631952E-2"/>
          <c:y val="0.10510735338410568"/>
          <c:w val="0.89725219039166171"/>
          <c:h val="0.7264805014127333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7030A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</c:v>
                </c:pt>
                <c:pt idx="12">
                  <c:v>FY 2013</c:v>
                </c:pt>
                <c:pt idx="13">
                  <c:v>FY 2014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11314</c:v>
                </c:pt>
                <c:pt idx="1">
                  <c:v>11365</c:v>
                </c:pt>
                <c:pt idx="2">
                  <c:v>12007</c:v>
                </c:pt>
                <c:pt idx="3">
                  <c:v>12365</c:v>
                </c:pt>
                <c:pt idx="4">
                  <c:v>13045</c:v>
                </c:pt>
                <c:pt idx="5">
                  <c:v>13661</c:v>
                </c:pt>
                <c:pt idx="6">
                  <c:v>14226</c:v>
                </c:pt>
                <c:pt idx="7">
                  <c:v>17288</c:v>
                </c:pt>
                <c:pt idx="8">
                  <c:v>15640</c:v>
                </c:pt>
                <c:pt idx="9">
                  <c:v>22956</c:v>
                </c:pt>
                <c:pt idx="10">
                  <c:v>22956</c:v>
                </c:pt>
                <c:pt idx="11">
                  <c:v>22824</c:v>
                </c:pt>
                <c:pt idx="12">
                  <c:v>22778</c:v>
                </c:pt>
                <c:pt idx="13">
                  <c:v>22778</c:v>
                </c:pt>
                <c:pt idx="14">
                  <c:v>22475</c:v>
                </c:pt>
                <c:pt idx="15">
                  <c:v>22475</c:v>
                </c:pt>
                <c:pt idx="16">
                  <c:v>22105</c:v>
                </c:pt>
                <c:pt idx="17">
                  <c:v>22475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83704"/>
        <c:axId val="444484096"/>
        <c:axId val="0"/>
      </c:bar3DChart>
      <c:catAx>
        <c:axId val="444483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4096"/>
        <c:crosses val="autoZero"/>
        <c:auto val="1"/>
        <c:lblAlgn val="ctr"/>
        <c:lblOffset val="100"/>
        <c:noMultiLvlLbl val="0"/>
      </c:catAx>
      <c:valAx>
        <c:axId val="44448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3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Pell Grants - Maximum Award</a:t>
            </a:r>
          </a:p>
        </c:rich>
      </c:tx>
      <c:layout>
        <c:manualLayout>
          <c:xMode val="edge"/>
          <c:yMode val="edge"/>
          <c:x val="0.3421194946785498"/>
          <c:y val="8.65801098633162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138102929441513E-2"/>
          <c:y val="0.12330672829718813"/>
          <c:w val="0.90268295789949327"/>
          <c:h val="0.6734030259869392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6.8259385665529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Sheet1!$A$1:$Q$1</c:f>
              <c:strCache>
                <c:ptCount val="17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2010</c:v>
                </c:pt>
                <c:pt idx="9">
                  <c:v>FY 2011</c:v>
                </c:pt>
                <c:pt idx="10">
                  <c:v>FY 2012</c:v>
                </c:pt>
                <c:pt idx="11">
                  <c:v>FY 2013</c:v>
                </c:pt>
                <c:pt idx="12">
                  <c:v>FY 2014</c:v>
                </c:pt>
                <c:pt idx="13">
                  <c:v>FY 2015 </c:v>
                </c:pt>
                <c:pt idx="14">
                  <c:v>FY 2016 Budget</c:v>
                </c:pt>
                <c:pt idx="15">
                  <c:v>FY 2016 House</c:v>
                </c:pt>
                <c:pt idx="16">
                  <c:v>FY 2016 Senate</c:v>
                </c:pt>
              </c:strCache>
            </c:strRef>
          </c:cat>
          <c:val>
            <c:numRef>
              <c:f>Sheet1!$A$2:$Q$2</c:f>
              <c:numCache>
                <c:formatCode>_("$"* #,##0_);_("$"* \(#,##0\);_("$"* "-"_);_(@_)</c:formatCode>
                <c:ptCount val="17"/>
                <c:pt idx="0">
                  <c:v>4000</c:v>
                </c:pt>
                <c:pt idx="1">
                  <c:v>4050</c:v>
                </c:pt>
                <c:pt idx="2">
                  <c:v>4050</c:v>
                </c:pt>
                <c:pt idx="3">
                  <c:v>4050</c:v>
                </c:pt>
                <c:pt idx="4">
                  <c:v>4050</c:v>
                </c:pt>
                <c:pt idx="5">
                  <c:v>4310</c:v>
                </c:pt>
                <c:pt idx="6">
                  <c:v>4731</c:v>
                </c:pt>
                <c:pt idx="7">
                  <c:v>5350</c:v>
                </c:pt>
                <c:pt idx="8">
                  <c:v>5550</c:v>
                </c:pt>
                <c:pt idx="9">
                  <c:v>5550</c:v>
                </c:pt>
                <c:pt idx="10">
                  <c:v>5550</c:v>
                </c:pt>
                <c:pt idx="11">
                  <c:v>5645</c:v>
                </c:pt>
                <c:pt idx="12">
                  <c:v>5730</c:v>
                </c:pt>
                <c:pt idx="13">
                  <c:v>5775</c:v>
                </c:pt>
                <c:pt idx="14">
                  <c:v>5915</c:v>
                </c:pt>
                <c:pt idx="15">
                  <c:v>5915</c:v>
                </c:pt>
                <c:pt idx="16">
                  <c:v>5915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84880"/>
        <c:axId val="444485272"/>
        <c:axId val="0"/>
      </c:bar3DChart>
      <c:catAx>
        <c:axId val="444484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5272"/>
        <c:crosses val="autoZero"/>
        <c:auto val="1"/>
        <c:lblAlgn val="ctr"/>
        <c:lblOffset val="100"/>
        <c:noMultiLvlLbl val="0"/>
      </c:catAx>
      <c:valAx>
        <c:axId val="444485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Supplemental Educational Opportunity Grants</a:t>
            </a:r>
          </a:p>
        </c:rich>
      </c:tx>
      <c:layout>
        <c:manualLayout>
          <c:xMode val="edge"/>
          <c:yMode val="edge"/>
          <c:x val="0.27579415126910295"/>
          <c:y val="8.658008658008689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9.7991695710167373E-2"/>
          <c:w val="0.90159093337164753"/>
          <c:h val="0.703459582920987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12"/>
              <c:layout>
                <c:manualLayout>
                  <c:x val="0"/>
                  <c:y val="-1.593806921675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Sheet1!$B$1:$S$1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Sheet1!$B$2:$S$2</c:f>
              <c:numCache>
                <c:formatCode>_("$"* #,##0_);_("$"* \(#,##0\);_("$"* "-"_);_(@_)</c:formatCode>
                <c:ptCount val="18"/>
                <c:pt idx="0">
                  <c:v>725</c:v>
                </c:pt>
                <c:pt idx="1">
                  <c:v>760</c:v>
                </c:pt>
                <c:pt idx="2">
                  <c:v>770</c:v>
                </c:pt>
                <c:pt idx="3">
                  <c:v>779</c:v>
                </c:pt>
                <c:pt idx="4">
                  <c:v>771</c:v>
                </c:pt>
                <c:pt idx="5">
                  <c:v>771</c:v>
                </c:pt>
                <c:pt idx="6">
                  <c:v>757</c:v>
                </c:pt>
                <c:pt idx="7">
                  <c:v>757</c:v>
                </c:pt>
                <c:pt idx="8">
                  <c:v>0</c:v>
                </c:pt>
                <c:pt idx="9">
                  <c:v>757</c:v>
                </c:pt>
                <c:pt idx="10">
                  <c:v>736</c:v>
                </c:pt>
                <c:pt idx="11">
                  <c:v>735</c:v>
                </c:pt>
                <c:pt idx="12">
                  <c:v>696</c:v>
                </c:pt>
                <c:pt idx="13">
                  <c:v>733</c:v>
                </c:pt>
                <c:pt idx="14">
                  <c:v>733</c:v>
                </c:pt>
                <c:pt idx="15">
                  <c:v>733</c:v>
                </c:pt>
                <c:pt idx="16">
                  <c:v>733</c:v>
                </c:pt>
                <c:pt idx="17">
                  <c:v>704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86056"/>
        <c:axId val="444486448"/>
        <c:axId val="0"/>
      </c:bar3DChart>
      <c:catAx>
        <c:axId val="444486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6448"/>
        <c:crosses val="autoZero"/>
        <c:auto val="1"/>
        <c:lblAlgn val="ctr"/>
        <c:lblOffset val="100"/>
        <c:noMultiLvlLbl val="0"/>
      </c:catAx>
      <c:valAx>
        <c:axId val="44448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6056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Federal Work-Study</a:t>
            </a:r>
          </a:p>
        </c:rich>
      </c:tx>
      <c:layout>
        <c:manualLayout>
          <c:xMode val="edge"/>
          <c:yMode val="edge"/>
          <c:x val="0.37751560355323938"/>
          <c:y val="8.658008658008689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8.6892417136382544E-2"/>
          <c:w val="0.90159093337164753"/>
          <c:h val="0.7145588614947722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206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2.798095474290108E-17"/>
                  <c:y val="-6.83060109289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9.1074681238615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593806921675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596190948580216E-17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1192381897160432E-16"/>
                  <c:y val="-1.3661202185792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5262515262516381E-3"/>
                  <c:y val="-1.593806921675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5262515262514144E-3"/>
                  <c:y val="-2.049180327868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1011</c:v>
                </c:pt>
                <c:pt idx="1">
                  <c:v>1004</c:v>
                </c:pt>
                <c:pt idx="2">
                  <c:v>999</c:v>
                </c:pt>
                <c:pt idx="3">
                  <c:v>991</c:v>
                </c:pt>
                <c:pt idx="4">
                  <c:v>980</c:v>
                </c:pt>
                <c:pt idx="5">
                  <c:v>980</c:v>
                </c:pt>
                <c:pt idx="6">
                  <c:v>980</c:v>
                </c:pt>
                <c:pt idx="7">
                  <c:v>980</c:v>
                </c:pt>
                <c:pt idx="8">
                  <c:v>200</c:v>
                </c:pt>
                <c:pt idx="9">
                  <c:v>980</c:v>
                </c:pt>
                <c:pt idx="10">
                  <c:v>979</c:v>
                </c:pt>
                <c:pt idx="11">
                  <c:v>977</c:v>
                </c:pt>
                <c:pt idx="12">
                  <c:v>926</c:v>
                </c:pt>
                <c:pt idx="13">
                  <c:v>975</c:v>
                </c:pt>
                <c:pt idx="14">
                  <c:v>990</c:v>
                </c:pt>
                <c:pt idx="15">
                  <c:v>990</c:v>
                </c:pt>
                <c:pt idx="16">
                  <c:v>990</c:v>
                </c:pt>
                <c:pt idx="17">
                  <c:v>950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87232"/>
        <c:axId val="444487624"/>
        <c:axId val="0"/>
      </c:bar3DChart>
      <c:catAx>
        <c:axId val="444487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7624"/>
        <c:crosses val="autoZero"/>
        <c:auto val="1"/>
        <c:lblAlgn val="ctr"/>
        <c:lblOffset val="100"/>
        <c:noMultiLvlLbl val="0"/>
      </c:catAx>
      <c:valAx>
        <c:axId val="4444876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7232"/>
        <c:crosses val="autoZero"/>
        <c:crossBetween val="between"/>
        <c:majorUnit val="3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School Improvement Grants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15729764548663"/>
          <c:y val="0.12584997059793757"/>
          <c:w val="0.87394892946074043"/>
          <c:h val="0.70425774134790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6F7525D-8493-45B6-A21A-A2EA8A744C03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</c:v>
                </c:pt>
                <c:pt idx="12">
                  <c:v>FY 2013</c:v>
                </c:pt>
                <c:pt idx="13">
                  <c:v>FY 2014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"-"??_);_(@_)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125</c:v>
                </c:pt>
                <c:pt idx="6">
                  <c:v>491</c:v>
                </c:pt>
                <c:pt idx="7">
                  <c:v>546</c:v>
                </c:pt>
                <c:pt idx="8">
                  <c:v>3000</c:v>
                </c:pt>
                <c:pt idx="9">
                  <c:v>546</c:v>
                </c:pt>
                <c:pt idx="10">
                  <c:v>535</c:v>
                </c:pt>
                <c:pt idx="11">
                  <c:v>534</c:v>
                </c:pt>
                <c:pt idx="12">
                  <c:v>506</c:v>
                </c:pt>
                <c:pt idx="13">
                  <c:v>506</c:v>
                </c:pt>
                <c:pt idx="14">
                  <c:v>506</c:v>
                </c:pt>
                <c:pt idx="15">
                  <c:v>556</c:v>
                </c:pt>
                <c:pt idx="16">
                  <c:v>0</c:v>
                </c:pt>
                <c:pt idx="17">
                  <c:v>450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60248"/>
        <c:axId val="346952016"/>
        <c:axId val="0"/>
      </c:bar3DChart>
      <c:catAx>
        <c:axId val="346960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2016"/>
        <c:crosses val="autoZero"/>
        <c:auto val="1"/>
        <c:lblAlgn val="ctr"/>
        <c:lblOffset val="100"/>
        <c:noMultiLvlLbl val="0"/>
      </c:catAx>
      <c:valAx>
        <c:axId val="34695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60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Leveraging Educational Assistance Partnerships (LEAP)</a:t>
            </a:r>
          </a:p>
        </c:rich>
      </c:tx>
      <c:layout>
        <c:manualLayout>
          <c:xMode val="edge"/>
          <c:yMode val="edge"/>
          <c:x val="0.19094663055544914"/>
          <c:y val="8.658008658008689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9.1446151198313327E-2"/>
          <c:w val="0.90159093337164753"/>
          <c:h val="0.7213894625876683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67</c:v>
                </c:pt>
                <c:pt idx="1">
                  <c:v>67</c:v>
                </c:pt>
                <c:pt idx="2">
                  <c:v>66</c:v>
                </c:pt>
                <c:pt idx="3">
                  <c:v>66</c:v>
                </c:pt>
                <c:pt idx="4">
                  <c:v>65</c:v>
                </c:pt>
                <c:pt idx="5">
                  <c:v>65</c:v>
                </c:pt>
                <c:pt idx="6">
                  <c:v>64</c:v>
                </c:pt>
                <c:pt idx="7">
                  <c:v>64</c:v>
                </c:pt>
                <c:pt idx="8">
                  <c:v>0</c:v>
                </c:pt>
                <c:pt idx="9">
                  <c:v>64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88408"/>
        <c:axId val="444488800"/>
        <c:axId val="0"/>
      </c:bar3DChart>
      <c:catAx>
        <c:axId val="444488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8800"/>
        <c:crosses val="autoZero"/>
        <c:auto val="1"/>
        <c:lblAlgn val="ctr"/>
        <c:lblOffset val="100"/>
        <c:noMultiLvlLbl val="0"/>
      </c:catAx>
      <c:valAx>
        <c:axId val="44448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8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Institutional Development (Higher Education) - Title III and Title V</a:t>
            </a:r>
            <a:br>
              <a:rPr lang="en-US"/>
            </a:br>
            <a:r>
              <a:rPr lang="en-US"/>
              <a:t>Discretionary Appropriations</a:t>
            </a:r>
          </a:p>
        </c:rich>
      </c:tx>
      <c:layout>
        <c:manualLayout>
          <c:xMode val="edge"/>
          <c:yMode val="edge"/>
          <c:x val="0.1676968263582436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0.13701298701298739"/>
          <c:w val="0.90159093337164753"/>
          <c:h val="0.707324699166702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447</c:v>
                </c:pt>
                <c:pt idx="1">
                  <c:v>481</c:v>
                </c:pt>
                <c:pt idx="2">
                  <c:v>494</c:v>
                </c:pt>
                <c:pt idx="3">
                  <c:v>517</c:v>
                </c:pt>
                <c:pt idx="4">
                  <c:v>515</c:v>
                </c:pt>
                <c:pt idx="5">
                  <c:v>515</c:v>
                </c:pt>
                <c:pt idx="6">
                  <c:v>510</c:v>
                </c:pt>
                <c:pt idx="7">
                  <c:v>516</c:v>
                </c:pt>
                <c:pt idx="8">
                  <c:v>0</c:v>
                </c:pt>
                <c:pt idx="9">
                  <c:v>613</c:v>
                </c:pt>
                <c:pt idx="10">
                  <c:v>562</c:v>
                </c:pt>
                <c:pt idx="11">
                  <c:v>541</c:v>
                </c:pt>
                <c:pt idx="12">
                  <c:v>512</c:v>
                </c:pt>
                <c:pt idx="13">
                  <c:v>530</c:v>
                </c:pt>
                <c:pt idx="14">
                  <c:v>539</c:v>
                </c:pt>
                <c:pt idx="15">
                  <c:v>541</c:v>
                </c:pt>
                <c:pt idx="16">
                  <c:v>553</c:v>
                </c:pt>
                <c:pt idx="17">
                  <c:v>523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89584"/>
        <c:axId val="444489976"/>
        <c:axId val="0"/>
      </c:bar3DChart>
      <c:catAx>
        <c:axId val="444489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9976"/>
        <c:crosses val="autoZero"/>
        <c:auto val="1"/>
        <c:lblAlgn val="ctr"/>
        <c:lblOffset val="100"/>
        <c:noMultiLvlLbl val="0"/>
      </c:catAx>
      <c:valAx>
        <c:axId val="444489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8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TRIO Discretionary Appropriation</a:t>
            </a:r>
          </a:p>
        </c:rich>
      </c:tx>
      <c:layout>
        <c:manualLayout>
          <c:xMode val="edge"/>
          <c:yMode val="edge"/>
          <c:x val="0.33668435676309716"/>
          <c:y val="8.88264991466232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388994644900152E-2"/>
          <c:y val="0.11126064873290153"/>
          <c:w val="0.89115467545961791"/>
          <c:h val="0.704163285050119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12"/>
              <c:layout>
                <c:manualLayout>
                  <c:x val="-1.1192381897160432E-16"/>
                  <c:y val="-1.137656427758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803</c:v>
                </c:pt>
                <c:pt idx="1">
                  <c:v>827</c:v>
                </c:pt>
                <c:pt idx="2">
                  <c:v>833</c:v>
                </c:pt>
                <c:pt idx="3">
                  <c:v>837</c:v>
                </c:pt>
                <c:pt idx="4">
                  <c:v>828</c:v>
                </c:pt>
                <c:pt idx="5">
                  <c:v>828</c:v>
                </c:pt>
                <c:pt idx="6">
                  <c:v>828</c:v>
                </c:pt>
                <c:pt idx="7">
                  <c:v>848</c:v>
                </c:pt>
                <c:pt idx="8">
                  <c:v>0</c:v>
                </c:pt>
                <c:pt idx="9">
                  <c:v>853</c:v>
                </c:pt>
                <c:pt idx="10">
                  <c:v>827</c:v>
                </c:pt>
                <c:pt idx="11">
                  <c:v>840</c:v>
                </c:pt>
                <c:pt idx="12">
                  <c:v>796</c:v>
                </c:pt>
                <c:pt idx="13">
                  <c:v>838</c:v>
                </c:pt>
                <c:pt idx="14">
                  <c:v>840</c:v>
                </c:pt>
                <c:pt idx="15">
                  <c:v>860</c:v>
                </c:pt>
                <c:pt idx="16">
                  <c:v>900</c:v>
                </c:pt>
                <c:pt idx="17">
                  <c:v>840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90760"/>
        <c:axId val="444491152"/>
        <c:axId val="0"/>
      </c:bar3DChart>
      <c:catAx>
        <c:axId val="444490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1152"/>
        <c:crosses val="autoZero"/>
        <c:auto val="1"/>
        <c:lblAlgn val="ctr"/>
        <c:lblOffset val="100"/>
        <c:noMultiLvlLbl val="0"/>
      </c:catAx>
      <c:valAx>
        <c:axId val="44449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0760"/>
        <c:crosses val="autoZero"/>
        <c:crossBetween val="between"/>
        <c:majorUnit val="3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GEAR UP</a:t>
            </a:r>
          </a:p>
        </c:rich>
      </c:tx>
      <c:layout>
        <c:manualLayout>
          <c:xMode val="edge"/>
          <c:yMode val="edge"/>
          <c:x val="0.44446778855591151"/>
          <c:y val="4.329004329004333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0.10670994506834186"/>
          <c:w val="0.90159093337164753"/>
          <c:h val="0.7061256687176398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C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2.798095474290108E-17"/>
                  <c:y val="-1.1384335154826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285</c:v>
                </c:pt>
                <c:pt idx="1">
                  <c:v>293</c:v>
                </c:pt>
                <c:pt idx="2">
                  <c:v>298</c:v>
                </c:pt>
                <c:pt idx="3">
                  <c:v>306</c:v>
                </c:pt>
                <c:pt idx="4">
                  <c:v>303</c:v>
                </c:pt>
                <c:pt idx="5">
                  <c:v>303</c:v>
                </c:pt>
                <c:pt idx="6">
                  <c:v>303</c:v>
                </c:pt>
                <c:pt idx="7">
                  <c:v>313</c:v>
                </c:pt>
                <c:pt idx="8">
                  <c:v>0</c:v>
                </c:pt>
                <c:pt idx="9">
                  <c:v>323</c:v>
                </c:pt>
                <c:pt idx="10">
                  <c:v>303</c:v>
                </c:pt>
                <c:pt idx="11">
                  <c:v>302</c:v>
                </c:pt>
                <c:pt idx="12">
                  <c:v>286</c:v>
                </c:pt>
                <c:pt idx="13">
                  <c:v>302</c:v>
                </c:pt>
                <c:pt idx="14">
                  <c:v>302</c:v>
                </c:pt>
                <c:pt idx="15">
                  <c:v>302</c:v>
                </c:pt>
                <c:pt idx="16">
                  <c:v>323</c:v>
                </c:pt>
                <c:pt idx="17">
                  <c:v>302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91936"/>
        <c:axId val="444492328"/>
        <c:axId val="0"/>
      </c:bar3DChart>
      <c:catAx>
        <c:axId val="44449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2328"/>
        <c:crosses val="autoZero"/>
        <c:auto val="1"/>
        <c:lblAlgn val="ctr"/>
        <c:lblOffset val="100"/>
        <c:noMultiLvlLbl val="0"/>
      </c:catAx>
      <c:valAx>
        <c:axId val="444492328"/>
        <c:scaling>
          <c:orientation val="minMax"/>
          <c:max val="3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193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First in the World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$200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Sheet1!$B$1:$R$1</c:f>
              <c:strCache>
                <c:ptCount val="17"/>
                <c:pt idx="0">
                  <c:v>FY 2003</c:v>
                </c:pt>
                <c:pt idx="1">
                  <c:v>FY 2004</c:v>
                </c:pt>
                <c:pt idx="2">
                  <c:v>FY 2005</c:v>
                </c:pt>
                <c:pt idx="3">
                  <c:v>FY 2006</c:v>
                </c:pt>
                <c:pt idx="4">
                  <c:v>FY 2007</c:v>
                </c:pt>
                <c:pt idx="5">
                  <c:v>FY 2008</c:v>
                </c:pt>
                <c:pt idx="6">
                  <c:v>FY 2009</c:v>
                </c:pt>
                <c:pt idx="7">
                  <c:v>FY 2009 ARRA</c:v>
                </c:pt>
                <c:pt idx="8">
                  <c:v>FY 2010</c:v>
                </c:pt>
                <c:pt idx="9">
                  <c:v>FY 2011</c:v>
                </c:pt>
                <c:pt idx="10">
                  <c:v>FY 2012 </c:v>
                </c:pt>
                <c:pt idx="11">
                  <c:v>FY 2013</c:v>
                </c:pt>
                <c:pt idx="12">
                  <c:v>FY 2014 </c:v>
                </c:pt>
                <c:pt idx="13">
                  <c:v>FY 2015 </c:v>
                </c:pt>
                <c:pt idx="14">
                  <c:v>FY 2016 Budget</c:v>
                </c:pt>
                <c:pt idx="15">
                  <c:v>FY 2016 House</c:v>
                </c:pt>
                <c:pt idx="16">
                  <c:v>FY 2016 Senate</c:v>
                </c:pt>
              </c:strCache>
            </c:strRef>
          </c:cat>
          <c:val>
            <c:numRef>
              <c:f>Sheet1!$B$2:$R$2</c:f>
              <c:numCache>
                <c:formatCode>"$"#,##0_);[Red]\("$"#,##0\)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General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75</c:v>
                </c:pt>
                <c:pt idx="13">
                  <c:v>60</c:v>
                </c:pt>
                <c:pt idx="14">
                  <c:v>200</c:v>
                </c:pt>
                <c:pt idx="15" formatCode="General">
                  <c:v>0</c:v>
                </c:pt>
                <c:pt idx="16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93112"/>
        <c:axId val="444493504"/>
        <c:axId val="0"/>
      </c:bar3DChart>
      <c:catAx>
        <c:axId val="44449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3504"/>
        <c:crosses val="autoZero"/>
        <c:auto val="1"/>
        <c:lblAlgn val="ctr"/>
        <c:lblOffset val="100"/>
        <c:noMultiLvlLbl val="0"/>
      </c:catAx>
      <c:valAx>
        <c:axId val="4444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311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 Quality Partnerships</a:t>
            </a:r>
          </a:p>
        </c:rich>
      </c:tx>
      <c:layout>
        <c:manualLayout>
          <c:xMode val="edge"/>
          <c:yMode val="edge"/>
          <c:x val="0.33522682090367995"/>
          <c:y val="3.18761384335154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0.13473620612997145"/>
          <c:w val="0.90159093337164753"/>
          <c:h val="0.6963143439037333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7030A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5262515262515122E-3"/>
                  <c:y val="-4.5537340619308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98095474290108E-17"/>
                  <c:y val="-9.1074681238615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262515262515542E-3"/>
                  <c:y val="-1.1384335154826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numFmt formatCode="&quot;$&quot;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90</c:v>
                </c:pt>
                <c:pt idx="1">
                  <c:v>89</c:v>
                </c:pt>
                <c:pt idx="2">
                  <c:v>89</c:v>
                </c:pt>
                <c:pt idx="3">
                  <c:v>68</c:v>
                </c:pt>
                <c:pt idx="4">
                  <c:v>60</c:v>
                </c:pt>
                <c:pt idx="5">
                  <c:v>60</c:v>
                </c:pt>
                <c:pt idx="6">
                  <c:v>34</c:v>
                </c:pt>
                <c:pt idx="7">
                  <c:v>50</c:v>
                </c:pt>
                <c:pt idx="8">
                  <c:v>100</c:v>
                </c:pt>
                <c:pt idx="9">
                  <c:v>43</c:v>
                </c:pt>
                <c:pt idx="10">
                  <c:v>43</c:v>
                </c:pt>
                <c:pt idx="11">
                  <c:v>43</c:v>
                </c:pt>
                <c:pt idx="12">
                  <c:v>41</c:v>
                </c:pt>
                <c:pt idx="13">
                  <c:v>41</c:v>
                </c:pt>
                <c:pt idx="14">
                  <c:v>41</c:v>
                </c:pt>
                <c:pt idx="15" formatCode="&quot;$&quot;#,##0">
                  <c:v>0</c:v>
                </c:pt>
                <c:pt idx="16">
                  <c:v>0</c:v>
                </c:pt>
                <c:pt idx="17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94288"/>
        <c:axId val="444494680"/>
        <c:axId val="0"/>
      </c:bar3DChart>
      <c:catAx>
        <c:axId val="44449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4680"/>
        <c:crosses val="autoZero"/>
        <c:auto val="1"/>
        <c:lblAlgn val="ctr"/>
        <c:lblOffset val="100"/>
        <c:noMultiLvlLbl val="0"/>
      </c:catAx>
      <c:valAx>
        <c:axId val="44449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42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Research, Development and Dissemination</a:t>
            </a:r>
          </a:p>
        </c:rich>
      </c:tx>
      <c:layout>
        <c:manualLayout>
          <c:xMode val="edge"/>
          <c:yMode val="edge"/>
          <c:x val="0.21911564811105544"/>
          <c:y val="6.493506493506511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9.9879343975445692E-2"/>
          <c:w val="0.90159093337164753"/>
          <c:h val="0.712956269810536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122</c:v>
                </c:pt>
                <c:pt idx="1">
                  <c:v>139</c:v>
                </c:pt>
                <c:pt idx="2">
                  <c:v>166</c:v>
                </c:pt>
                <c:pt idx="3">
                  <c:v>164</c:v>
                </c:pt>
                <c:pt idx="4">
                  <c:v>163</c:v>
                </c:pt>
                <c:pt idx="5">
                  <c:v>163</c:v>
                </c:pt>
                <c:pt idx="6">
                  <c:v>160</c:v>
                </c:pt>
                <c:pt idx="7">
                  <c:v>167</c:v>
                </c:pt>
                <c:pt idx="8">
                  <c:v>0</c:v>
                </c:pt>
                <c:pt idx="9">
                  <c:v>200</c:v>
                </c:pt>
                <c:pt idx="10">
                  <c:v>200</c:v>
                </c:pt>
                <c:pt idx="11">
                  <c:v>190</c:v>
                </c:pt>
                <c:pt idx="12">
                  <c:v>180</c:v>
                </c:pt>
                <c:pt idx="13">
                  <c:v>180</c:v>
                </c:pt>
                <c:pt idx="14">
                  <c:v>180</c:v>
                </c:pt>
                <c:pt idx="15">
                  <c:v>202</c:v>
                </c:pt>
                <c:pt idx="16">
                  <c:v>93</c:v>
                </c:pt>
                <c:pt idx="17">
                  <c:v>178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95464"/>
        <c:axId val="444495856"/>
        <c:axId val="0"/>
      </c:bar3DChart>
      <c:catAx>
        <c:axId val="444495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5856"/>
        <c:crossesAt val="0"/>
        <c:auto val="1"/>
        <c:lblAlgn val="ctr"/>
        <c:lblOffset val="100"/>
        <c:noMultiLvlLbl val="0"/>
      </c:catAx>
      <c:valAx>
        <c:axId val="4444958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546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Statistics</a:t>
            </a:r>
          </a:p>
        </c:rich>
      </c:tx>
      <c:layout>
        <c:manualLayout>
          <c:xMode val="edge"/>
          <c:yMode val="edge"/>
          <c:x val="0.4397729522966448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94667011037044E-2"/>
          <c:y val="8.2707284540252154E-2"/>
          <c:w val="0.90159093337164753"/>
          <c:h val="0.7324051962766948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C00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85</c:v>
                </c:pt>
                <c:pt idx="1">
                  <c:v>89</c:v>
                </c:pt>
                <c:pt idx="2">
                  <c:v>92</c:v>
                </c:pt>
                <c:pt idx="3">
                  <c:v>91</c:v>
                </c:pt>
                <c:pt idx="4">
                  <c:v>90</c:v>
                </c:pt>
                <c:pt idx="5">
                  <c:v>90</c:v>
                </c:pt>
                <c:pt idx="6">
                  <c:v>88</c:v>
                </c:pt>
                <c:pt idx="7">
                  <c:v>99</c:v>
                </c:pt>
                <c:pt idx="8">
                  <c:v>0</c:v>
                </c:pt>
                <c:pt idx="9">
                  <c:v>109</c:v>
                </c:pt>
                <c:pt idx="10">
                  <c:v>108</c:v>
                </c:pt>
                <c:pt idx="11">
                  <c:v>109</c:v>
                </c:pt>
                <c:pt idx="12">
                  <c:v>103</c:v>
                </c:pt>
                <c:pt idx="13">
                  <c:v>103</c:v>
                </c:pt>
                <c:pt idx="14">
                  <c:v>103</c:v>
                </c:pt>
                <c:pt idx="15">
                  <c:v>125</c:v>
                </c:pt>
                <c:pt idx="16">
                  <c:v>103</c:v>
                </c:pt>
                <c:pt idx="17">
                  <c:v>102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96640"/>
        <c:axId val="444497032"/>
        <c:axId val="0"/>
      </c:bar3DChart>
      <c:catAx>
        <c:axId val="444496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7032"/>
        <c:crosses val="autoZero"/>
        <c:auto val="1"/>
        <c:lblAlgn val="ctr"/>
        <c:lblOffset val="100"/>
        <c:noMultiLvlLbl val="0"/>
      </c:catAx>
      <c:valAx>
        <c:axId val="444497032"/>
        <c:scaling>
          <c:orientation val="minMax"/>
          <c:max val="14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664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Head Start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314446271139184E-2"/>
          <c:y val="0.10315399918059315"/>
          <c:w val="0.895896786940094"/>
          <c:h val="0.7171441609193135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5"/>
              <c:layout>
                <c:manualLayout>
                  <c:x val="5.596190948580216E-17"/>
                  <c:y val="-1.3662757599908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1.3662757599908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1192381897160432E-16"/>
                  <c:y val="-1.1385631333257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5262515262514144E-3"/>
                  <c:y val="-2.08734163128188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6537</c:v>
                </c:pt>
                <c:pt idx="1">
                  <c:v>6667</c:v>
                </c:pt>
                <c:pt idx="2">
                  <c:v>6775</c:v>
                </c:pt>
                <c:pt idx="3">
                  <c:v>6843</c:v>
                </c:pt>
                <c:pt idx="4">
                  <c:v>6782</c:v>
                </c:pt>
                <c:pt idx="5">
                  <c:v>6889</c:v>
                </c:pt>
                <c:pt idx="6">
                  <c:v>6878</c:v>
                </c:pt>
                <c:pt idx="7">
                  <c:v>7113</c:v>
                </c:pt>
                <c:pt idx="8">
                  <c:v>2100</c:v>
                </c:pt>
                <c:pt idx="9">
                  <c:v>7235</c:v>
                </c:pt>
                <c:pt idx="10">
                  <c:v>7560</c:v>
                </c:pt>
                <c:pt idx="11">
                  <c:v>7969</c:v>
                </c:pt>
                <c:pt idx="12">
                  <c:v>7573</c:v>
                </c:pt>
                <c:pt idx="13">
                  <c:v>8598</c:v>
                </c:pt>
                <c:pt idx="14">
                  <c:v>8598</c:v>
                </c:pt>
                <c:pt idx="15">
                  <c:v>10118</c:v>
                </c:pt>
                <c:pt idx="16">
                  <c:v>8790</c:v>
                </c:pt>
                <c:pt idx="17">
                  <c:v>8698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44497816"/>
        <c:axId val="444498208"/>
        <c:axId val="0"/>
      </c:bar3DChart>
      <c:catAx>
        <c:axId val="444497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8208"/>
        <c:crosses val="autoZero"/>
        <c:auto val="1"/>
        <c:lblAlgn val="ctr"/>
        <c:lblOffset val="100"/>
        <c:noMultiLvlLbl val="0"/>
      </c:catAx>
      <c:valAx>
        <c:axId val="44449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49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Striving Readers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400161518271756E-2"/>
          <c:y val="0.12818083887931947"/>
          <c:w val="0.91440757405324335"/>
          <c:h val="0.7871429313994525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C00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13"/>
              <c:layout>
                <c:manualLayout>
                  <c:x val="1.1192381897160432E-16"/>
                  <c:y val="-9.10539494650580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</c:v>
                </c:pt>
                <c:pt idx="13">
                  <c:v>FY 2014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24.8</c:v>
                </c:pt>
                <c:pt idx="4">
                  <c:v>29.7</c:v>
                </c:pt>
                <c:pt idx="5">
                  <c:v>31.9</c:v>
                </c:pt>
                <c:pt idx="6">
                  <c:v>35.4</c:v>
                </c:pt>
                <c:pt idx="7">
                  <c:v>35.4</c:v>
                </c:pt>
                <c:pt idx="8">
                  <c:v>0</c:v>
                </c:pt>
                <c:pt idx="9">
                  <c:v>200</c:v>
                </c:pt>
                <c:pt idx="10">
                  <c:v>0</c:v>
                </c:pt>
                <c:pt idx="11">
                  <c:v>160</c:v>
                </c:pt>
                <c:pt idx="12">
                  <c:v>151</c:v>
                </c:pt>
                <c:pt idx="13">
                  <c:v>158</c:v>
                </c:pt>
                <c:pt idx="14">
                  <c:v>160</c:v>
                </c:pt>
                <c:pt idx="15">
                  <c:v>160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53976"/>
        <c:axId val="346954760"/>
        <c:axId val="0"/>
      </c:bar3DChart>
      <c:catAx>
        <c:axId val="346953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4760"/>
        <c:crosses val="autoZero"/>
        <c:auto val="1"/>
        <c:lblAlgn val="ctr"/>
        <c:lblOffset val="100"/>
        <c:noMultiLvlLbl val="0"/>
      </c:catAx>
      <c:valAx>
        <c:axId val="346954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3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Literacy Through School Libraries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120552238662475E-2"/>
          <c:y val="0.13046466015518551"/>
          <c:w val="0.92017175737648182"/>
          <c:h val="0.7896926050227328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 </c:v>
                </c:pt>
                <c:pt idx="14">
                  <c:v>FY 2015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12</c:v>
                </c:pt>
                <c:pt idx="1">
                  <c:v>13</c:v>
                </c:pt>
                <c:pt idx="2">
                  <c:v>20</c:v>
                </c:pt>
                <c:pt idx="3">
                  <c:v>20</c:v>
                </c:pt>
                <c:pt idx="4">
                  <c:v>19</c:v>
                </c:pt>
                <c:pt idx="5">
                  <c:v>19</c:v>
                </c:pt>
                <c:pt idx="6">
                  <c:v>19</c:v>
                </c:pt>
                <c:pt idx="7">
                  <c:v>19</c:v>
                </c:pt>
                <c:pt idx="8">
                  <c:v>0</c:v>
                </c:pt>
                <c:pt idx="9">
                  <c:v>19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67696"/>
        <c:axId val="346960640"/>
        <c:axId val="0"/>
      </c:bar3DChart>
      <c:catAx>
        <c:axId val="346967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60640"/>
        <c:crosses val="autoZero"/>
        <c:auto val="1"/>
        <c:lblAlgn val="ctr"/>
        <c:lblOffset val="100"/>
        <c:noMultiLvlLbl val="0"/>
      </c:catAx>
      <c:valAx>
        <c:axId val="34696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6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High School Graduation Initiative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44113930203166E-2"/>
          <c:y val="0.12773833598669018"/>
          <c:w val="0.9201718775537675"/>
          <c:h val="0.7786282862183210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</c:v>
                </c:pt>
                <c:pt idx="14">
                  <c:v>FY 2015 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50</c:v>
                </c:pt>
                <c:pt idx="10">
                  <c:v>49</c:v>
                </c:pt>
                <c:pt idx="11">
                  <c:v>49</c:v>
                </c:pt>
                <c:pt idx="12">
                  <c:v>46</c:v>
                </c:pt>
                <c:pt idx="13">
                  <c:v>46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57896"/>
        <c:axId val="346962600"/>
        <c:axId val="0"/>
      </c:bar3DChart>
      <c:catAx>
        <c:axId val="346957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62600"/>
        <c:crosses val="autoZero"/>
        <c:auto val="1"/>
        <c:lblAlgn val="ctr"/>
        <c:lblOffset val="100"/>
        <c:noMultiLvlLbl val="0"/>
      </c:catAx>
      <c:valAx>
        <c:axId val="3469626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7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HEP/CAMP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Sheet1!$A$1:$R$1</c:f>
              <c:strCache>
                <c:ptCount val="18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2011</c:v>
                </c:pt>
                <c:pt idx="11">
                  <c:v>FY 2012 </c:v>
                </c:pt>
                <c:pt idx="12">
                  <c:v>FY 2013 </c:v>
                </c:pt>
                <c:pt idx="13">
                  <c:v>FY 2014</c:v>
                </c:pt>
                <c:pt idx="14">
                  <c:v>FY 2015  </c:v>
                </c:pt>
                <c:pt idx="15">
                  <c:v>FY 2016 Budget</c:v>
                </c:pt>
                <c:pt idx="16">
                  <c:v>FY 2016 House</c:v>
                </c:pt>
                <c:pt idx="17">
                  <c:v>FY 2016 Senate</c:v>
                </c:pt>
              </c:strCache>
            </c:strRef>
          </c:cat>
          <c:val>
            <c:numRef>
              <c:f>Sheet1!$A$2:$R$2</c:f>
              <c:numCache>
                <c:formatCode>_("$"* #,##0_);_("$"* \(#,##0\);_("$"* "-"_);_(@_)</c:formatCode>
                <c:ptCount val="18"/>
                <c:pt idx="0">
                  <c:v>38</c:v>
                </c:pt>
                <c:pt idx="1">
                  <c:v>39</c:v>
                </c:pt>
                <c:pt idx="2">
                  <c:v>35</c:v>
                </c:pt>
                <c:pt idx="3">
                  <c:v>34</c:v>
                </c:pt>
                <c:pt idx="4">
                  <c:v>34</c:v>
                </c:pt>
                <c:pt idx="5">
                  <c:v>34</c:v>
                </c:pt>
                <c:pt idx="6">
                  <c:v>33</c:v>
                </c:pt>
                <c:pt idx="7">
                  <c:v>34</c:v>
                </c:pt>
                <c:pt idx="8">
                  <c:v>0</c:v>
                </c:pt>
                <c:pt idx="9">
                  <c:v>37</c:v>
                </c:pt>
                <c:pt idx="10">
                  <c:v>37</c:v>
                </c:pt>
                <c:pt idx="11">
                  <c:v>37</c:v>
                </c:pt>
                <c:pt idx="12">
                  <c:v>35</c:v>
                </c:pt>
                <c:pt idx="13">
                  <c:v>35</c:v>
                </c:pt>
                <c:pt idx="14">
                  <c:v>37</c:v>
                </c:pt>
                <c:pt idx="15">
                  <c:v>45</c:v>
                </c:pt>
                <c:pt idx="16">
                  <c:v>37</c:v>
                </c:pt>
                <c:pt idx="17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59072"/>
        <c:axId val="346958680"/>
        <c:axId val="0"/>
      </c:bar3DChart>
      <c:catAx>
        <c:axId val="34695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8680"/>
        <c:crosses val="autoZero"/>
        <c:auto val="1"/>
        <c:lblAlgn val="ctr"/>
        <c:lblOffset val="100"/>
        <c:noMultiLvlLbl val="0"/>
      </c:catAx>
      <c:valAx>
        <c:axId val="34695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5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Migrant Education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50000"/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578754578754579E-3"/>
                  <c:y val="-1.3661202185792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78754578754579E-3"/>
                  <c:y val="-1.1384335154826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525030525030243E-3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049180327868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1384335154826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1.1384335154826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1.5938069216757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Sheet1!$A$1:$S$1</c:f>
              <c:strCache>
                <c:ptCount val="19"/>
                <c:pt idx="0">
                  <c:v>FY 2002</c:v>
                </c:pt>
                <c:pt idx="1">
                  <c:v>FY 2003</c:v>
                </c:pt>
                <c:pt idx="2">
                  <c:v>FY 2004</c:v>
                </c:pt>
                <c:pt idx="3">
                  <c:v>FY 2005</c:v>
                </c:pt>
                <c:pt idx="4">
                  <c:v>FY 2006</c:v>
                </c:pt>
                <c:pt idx="5">
                  <c:v>FY 2007</c:v>
                </c:pt>
                <c:pt idx="6">
                  <c:v>FY 2008</c:v>
                </c:pt>
                <c:pt idx="7">
                  <c:v>FY 2009</c:v>
                </c:pt>
                <c:pt idx="8">
                  <c:v>FY 2009 ARRA</c:v>
                </c:pt>
                <c:pt idx="9">
                  <c:v>FY 2010</c:v>
                </c:pt>
                <c:pt idx="10">
                  <c:v>FY 20102</c:v>
                </c:pt>
                <c:pt idx="11">
                  <c:v>FY 2011</c:v>
                </c:pt>
                <c:pt idx="12">
                  <c:v>FY 2012</c:v>
                </c:pt>
                <c:pt idx="13">
                  <c:v>FY 2013</c:v>
                </c:pt>
                <c:pt idx="14">
                  <c:v>FY 2014</c:v>
                </c:pt>
                <c:pt idx="15">
                  <c:v>FY 2015</c:v>
                </c:pt>
                <c:pt idx="16">
                  <c:v>FY 2016 Budget</c:v>
                </c:pt>
                <c:pt idx="17">
                  <c:v>FY 2016 House</c:v>
                </c:pt>
                <c:pt idx="18">
                  <c:v>FY 2016 Senate</c:v>
                </c:pt>
              </c:strCache>
            </c:strRef>
          </c:cat>
          <c:val>
            <c:numRef>
              <c:f>Sheet1!$A$2:$S$2</c:f>
              <c:numCache>
                <c:formatCode>_("$"* #,##0_);_("$"* \(#,##0\);_("$"* "-"??_);_(@_)</c:formatCode>
                <c:ptCount val="19"/>
                <c:pt idx="0">
                  <c:v>396</c:v>
                </c:pt>
                <c:pt idx="1">
                  <c:v>395</c:v>
                </c:pt>
                <c:pt idx="2">
                  <c:v>394</c:v>
                </c:pt>
                <c:pt idx="3">
                  <c:v>390</c:v>
                </c:pt>
                <c:pt idx="4">
                  <c:v>387</c:v>
                </c:pt>
                <c:pt idx="5">
                  <c:v>387</c:v>
                </c:pt>
                <c:pt idx="6">
                  <c:v>378</c:v>
                </c:pt>
                <c:pt idx="7">
                  <c:v>395</c:v>
                </c:pt>
                <c:pt idx="8">
                  <c:v>0</c:v>
                </c:pt>
                <c:pt idx="9">
                  <c:v>395</c:v>
                </c:pt>
                <c:pt idx="10">
                  <c:v>394</c:v>
                </c:pt>
                <c:pt idx="11">
                  <c:v>393</c:v>
                </c:pt>
                <c:pt idx="12">
                  <c:v>373</c:v>
                </c:pt>
                <c:pt idx="13">
                  <c:v>375</c:v>
                </c:pt>
                <c:pt idx="14">
                  <c:v>375</c:v>
                </c:pt>
                <c:pt idx="15">
                  <c:v>375</c:v>
                </c:pt>
                <c:pt idx="16">
                  <c:v>375</c:v>
                </c:pt>
                <c:pt idx="17">
                  <c:v>375</c:v>
                </c:pt>
                <c:pt idx="18">
                  <c:v>365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6966520"/>
        <c:axId val="346965736"/>
        <c:axId val="0"/>
      </c:bar3DChart>
      <c:catAx>
        <c:axId val="346966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65736"/>
        <c:crosses val="autoZero"/>
        <c:auto val="1"/>
        <c:lblAlgn val="ctr"/>
        <c:lblOffset val="100"/>
        <c:noMultiLvlLbl val="0"/>
      </c:catAx>
      <c:valAx>
        <c:axId val="346965736"/>
        <c:scaling>
          <c:orientation val="minMax"/>
          <c:max val="4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966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9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0.45412</cdr:x>
      <cdr:y>0.05287</cdr:y>
    </cdr:from>
    <cdr:to>
      <cdr:x>0.57807</cdr:x>
      <cdr:y>0.08858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59084" y="310202"/>
          <a:ext cx="998729" cy="209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0.45517</cdr:x>
      <cdr:y>0.04337</cdr:y>
    </cdr:from>
    <cdr:to>
      <cdr:x>0.55286</cdr:x>
      <cdr:y>0.08584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87522" y="241894"/>
          <a:ext cx="812882" cy="23689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/>
            <a:t>in millions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0.46564</cdr:x>
      <cdr:y>0.05429</cdr:y>
    </cdr:from>
    <cdr:to>
      <cdr:x>0.58959</cdr:x>
      <cdr:y>0.09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74622" y="302821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0.05429</cdr:y>
    </cdr:from>
    <cdr:to>
      <cdr:x>0.577</cdr:x>
      <cdr:y>0.09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62942" y="349591"/>
          <a:ext cx="1029504" cy="229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0.05429</cdr:y>
    </cdr:from>
    <cdr:to>
      <cdr:x>0.577</cdr:x>
      <cdr:y>0.09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62942" y="349591"/>
          <a:ext cx="1029504" cy="229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0.45992</cdr:x>
      <cdr:y>0.05486</cdr:y>
    </cdr:from>
    <cdr:to>
      <cdr:x>0.58387</cdr:x>
      <cdr:y>0.09057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26997" y="30599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  <cdr:relSizeAnchor xmlns:cdr="http://schemas.openxmlformats.org/drawingml/2006/chartDrawing">
    <cdr:from>
      <cdr:x>0.04983</cdr:x>
      <cdr:y>0.84416</cdr:y>
    </cdr:from>
    <cdr:to>
      <cdr:x>0.16107</cdr:x>
      <cdr:y>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09575" y="5734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0.45992</cdr:x>
      <cdr:y>0.05827</cdr:y>
    </cdr:from>
    <cdr:to>
      <cdr:x>0.58387</cdr:x>
      <cdr:y>0.09398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26997" y="32504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0.45992</cdr:x>
      <cdr:y>0.05657</cdr:y>
    </cdr:from>
    <cdr:to>
      <cdr:x>0.58387</cdr:x>
      <cdr:y>0.09228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26997" y="315522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0.45534</cdr:x>
      <cdr:y>0.05315</cdr:y>
    </cdr:from>
    <cdr:to>
      <cdr:x>0.57929</cdr:x>
      <cdr:y>0.08886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88897" y="296433"/>
          <a:ext cx="1031393" cy="199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0.06818</cdr:y>
    </cdr:from>
    <cdr:to>
      <cdr:x>0.577</cdr:x>
      <cdr:y>0.10389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36" y="400036"/>
          <a:ext cx="1005892" cy="209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0.45877</cdr:x>
      <cdr:y>0.05486</cdr:y>
    </cdr:from>
    <cdr:to>
      <cdr:x>0.58272</cdr:x>
      <cdr:y>0.09057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17472" y="30599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0.45915</cdr:x>
      <cdr:y>0.0708</cdr:y>
    </cdr:from>
    <cdr:to>
      <cdr:x>0.5831</cdr:x>
      <cdr:y>0.10651</cdr:y>
    </cdr:to>
    <cdr:sp macro="" textlink="">
      <cdr:nvSpPr>
        <cdr:cNvPr id="2" name="TextBox 4"/>
        <cdr:cNvSpPr txBox="1"/>
      </cdr:nvSpPr>
      <cdr:spPr>
        <a:xfrm xmlns:a="http://schemas.openxmlformats.org/drawingml/2006/main">
          <a:off x="3820647" y="394897"/>
          <a:ext cx="1031393" cy="19918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0.45915</cdr:x>
      <cdr:y>0.0708</cdr:y>
    </cdr:from>
    <cdr:to>
      <cdr:x>0.5831</cdr:x>
      <cdr:y>0.10651</cdr:y>
    </cdr:to>
    <cdr:sp macro="" textlink="">
      <cdr:nvSpPr>
        <cdr:cNvPr id="3" name="TextBox 4"/>
        <cdr:cNvSpPr txBox="1"/>
      </cdr:nvSpPr>
      <cdr:spPr>
        <a:xfrm xmlns:a="http://schemas.openxmlformats.org/drawingml/2006/main">
          <a:off x="3820647" y="394897"/>
          <a:ext cx="1031393" cy="19918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0.45915</cdr:x>
      <cdr:y>0.0708</cdr:y>
    </cdr:from>
    <cdr:to>
      <cdr:x>0.5831</cdr:x>
      <cdr:y>0.10651</cdr:y>
    </cdr:to>
    <cdr:sp macro="" textlink="">
      <cdr:nvSpPr>
        <cdr:cNvPr id="4" name="TextBox 4"/>
        <cdr:cNvSpPr txBox="1"/>
      </cdr:nvSpPr>
      <cdr:spPr>
        <a:xfrm xmlns:a="http://schemas.openxmlformats.org/drawingml/2006/main">
          <a:off x="3820647" y="394897"/>
          <a:ext cx="1031393" cy="19918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0.46602</cdr:x>
      <cdr:y>0.06055</cdr:y>
    </cdr:from>
    <cdr:to>
      <cdr:x>0.58997</cdr:x>
      <cdr:y>0.09626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77797" y="33774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/>
            <a:t>in millions</a:t>
          </a: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0.4645</cdr:x>
      <cdr:y>0.05144</cdr:y>
    </cdr:from>
    <cdr:to>
      <cdr:x>0.58845</cdr:x>
      <cdr:y>0.08715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63659" y="286947"/>
          <a:ext cx="1030999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  <cdr:relSizeAnchor xmlns:cdr="http://schemas.openxmlformats.org/drawingml/2006/chartDrawing">
    <cdr:from>
      <cdr:x>0.04983</cdr:x>
      <cdr:y>0.84416</cdr:y>
    </cdr:from>
    <cdr:to>
      <cdr:x>0.16107</cdr:x>
      <cdr:y>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09575" y="5734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0.45915</cdr:x>
      <cdr:y>0.0708</cdr:y>
    </cdr:from>
    <cdr:to>
      <cdr:x>0.5831</cdr:x>
      <cdr:y>0.10651</cdr:y>
    </cdr:to>
    <cdr:sp macro="" textlink="">
      <cdr:nvSpPr>
        <cdr:cNvPr id="3" name="TextBox 4"/>
        <cdr:cNvSpPr txBox="1"/>
      </cdr:nvSpPr>
      <cdr:spPr>
        <a:xfrm xmlns:a="http://schemas.openxmlformats.org/drawingml/2006/main">
          <a:off x="3820647" y="394897"/>
          <a:ext cx="1031393" cy="19918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0.45915</cdr:x>
      <cdr:y>0.0708</cdr:y>
    </cdr:from>
    <cdr:to>
      <cdr:x>0.5831</cdr:x>
      <cdr:y>0.10651</cdr:y>
    </cdr:to>
    <cdr:sp macro="" textlink="">
      <cdr:nvSpPr>
        <cdr:cNvPr id="4" name="TextBox 4"/>
        <cdr:cNvSpPr txBox="1"/>
      </cdr:nvSpPr>
      <cdr:spPr>
        <a:xfrm xmlns:a="http://schemas.openxmlformats.org/drawingml/2006/main">
          <a:off x="3820647" y="394897"/>
          <a:ext cx="1031393" cy="199185"/>
        </a:xfrm>
        <a:prstGeom xmlns:a="http://schemas.openxmlformats.org/drawingml/2006/main" prst="rect">
          <a:avLst/>
        </a:prstGeom>
      </cdr:spPr>
    </cdr:sp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0.46106</cdr:x>
      <cdr:y>0.05827</cdr:y>
    </cdr:from>
    <cdr:to>
      <cdr:x>0.58501</cdr:x>
      <cdr:y>0.09398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36522" y="32504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0.06169</cdr:y>
    </cdr:from>
    <cdr:to>
      <cdr:x>0.577</cdr:x>
      <cdr:y>0.0974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49" y="361950"/>
          <a:ext cx="100584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32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0.45419</cdr:x>
      <cdr:y>0.05486</cdr:y>
    </cdr:from>
    <cdr:to>
      <cdr:x>0.57814</cdr:x>
      <cdr:y>0.09057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79372" y="30599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33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0.45534</cdr:x>
      <cdr:y>0.05144</cdr:y>
    </cdr:from>
    <cdr:to>
      <cdr:x>0.57929</cdr:x>
      <cdr:y>0.08715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88897" y="28694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34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0.03778</cdr:y>
    </cdr:from>
    <cdr:to>
      <cdr:x>0.577</cdr:x>
      <cdr:y>0.07349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69847" y="21074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35.xml><?xml version="1.0" encoding="utf-8"?>
<c:userShapes xmlns:c="http://schemas.openxmlformats.org/drawingml/2006/chart">
  <cdr:relSizeAnchor xmlns:cdr="http://schemas.openxmlformats.org/drawingml/2006/chartDrawing">
    <cdr:from>
      <cdr:x>0.45902</cdr:x>
      <cdr:y>0.06145</cdr:y>
    </cdr:from>
    <cdr:to>
      <cdr:x>0.58036</cdr:x>
      <cdr:y>0.13204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9525" y="342732"/>
          <a:ext cx="1009650" cy="3937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36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0.47704</cdr:x>
      <cdr:y>0.04632</cdr:y>
    </cdr:from>
    <cdr:to>
      <cdr:x>0.60099</cdr:x>
      <cdr:y>0.08203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977352" y="258372"/>
          <a:ext cx="1033439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</a:t>
          </a:r>
          <a:r>
            <a:rPr lang="en-US" sz="1100" baseline="0"/>
            <a:t> millions</a:t>
          </a:r>
          <a:endParaRPr lang="en-US" sz="1100"/>
        </a:p>
      </cdr:txBody>
    </cdr:sp>
  </cdr:relSizeAnchor>
  <cdr:relSizeAnchor xmlns:cdr="http://schemas.openxmlformats.org/drawingml/2006/chartDrawing">
    <cdr:from>
      <cdr:x>0.09634</cdr:x>
      <cdr:y>0.84416</cdr:y>
    </cdr:from>
    <cdr:to>
      <cdr:x>0.19686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76300" y="5676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37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0.45648</cdr:x>
      <cdr:y>0.05145</cdr:y>
    </cdr:from>
    <cdr:to>
      <cdr:x>0.58043</cdr:x>
      <cdr:y>0.08716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98422" y="287182"/>
          <a:ext cx="1031393" cy="1993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</a:t>
          </a:r>
          <a:r>
            <a:rPr lang="en-US" sz="1100" baseline="0"/>
            <a:t>actual dollars</a:t>
          </a:r>
          <a:endParaRPr lang="en-US" sz="1100"/>
        </a:p>
      </cdr:txBody>
    </cdr:sp>
  </cdr:relSizeAnchor>
</c:userShapes>
</file>

<file path=word/drawings/drawing38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0.48281</cdr:x>
      <cdr:y>0.04803</cdr:y>
    </cdr:from>
    <cdr:to>
      <cdr:x>0.60676</cdr:x>
      <cdr:y>0.08374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017497" y="26789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39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0.46793</cdr:x>
      <cdr:y>0.05144</cdr:y>
    </cdr:from>
    <cdr:to>
      <cdr:x>0.59188</cdr:x>
      <cdr:y>0.08715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93672" y="28694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0.45419</cdr:x>
      <cdr:y>0.05486</cdr:y>
    </cdr:from>
    <cdr:to>
      <cdr:x>0.57814</cdr:x>
      <cdr:y>0.09057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81098" y="305997"/>
          <a:ext cx="1031865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40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0.46564</cdr:x>
      <cdr:y>0.05144</cdr:y>
    </cdr:from>
    <cdr:to>
      <cdr:x>0.58959</cdr:x>
      <cdr:y>0.08715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74622" y="28694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41.xml><?xml version="1.0" encoding="utf-8"?>
<c:userShapes xmlns:c="http://schemas.openxmlformats.org/drawingml/2006/chart">
  <cdr:relSizeAnchor xmlns:cdr="http://schemas.openxmlformats.org/drawingml/2006/chartDrawing">
    <cdr:from>
      <cdr:x>0.45305</cdr:x>
      <cdr:y>0.09253</cdr:y>
    </cdr:from>
    <cdr:to>
      <cdr:x>0.577</cdr:x>
      <cdr:y>0.12824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36" y="542935"/>
          <a:ext cx="1005892" cy="209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42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0.05032</cdr:y>
    </cdr:from>
    <cdr:to>
      <cdr:x>0.577</cdr:x>
      <cdr:y>0.08603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36" y="295261"/>
          <a:ext cx="1005892" cy="209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43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0.05032</cdr:y>
    </cdr:from>
    <cdr:to>
      <cdr:x>0.577</cdr:x>
      <cdr:y>0.08603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36" y="295261"/>
          <a:ext cx="1005892" cy="209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44.xml><?xml version="1.0" encoding="utf-8"?>
<c:userShapes xmlns:c="http://schemas.openxmlformats.org/drawingml/2006/chart">
  <cdr:relSizeAnchor xmlns:cdr="http://schemas.openxmlformats.org/drawingml/2006/chartDrawing">
    <cdr:from>
      <cdr:x>0.45915</cdr:x>
      <cdr:y>0.05943</cdr:y>
    </cdr:from>
    <cdr:to>
      <cdr:x>0.5831</cdr:x>
      <cdr:y>0.09514</cdr:y>
    </cdr:to>
    <cdr:sp macro="" textlink="">
      <cdr:nvSpPr>
        <cdr:cNvPr id="2" name="TextBox 4"/>
        <cdr:cNvSpPr txBox="1"/>
      </cdr:nvSpPr>
      <cdr:spPr>
        <a:xfrm xmlns:a="http://schemas.openxmlformats.org/drawingml/2006/main">
          <a:off x="3820647" y="331477"/>
          <a:ext cx="1031393" cy="19918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0.46602</cdr:x>
      <cdr:y>0.04918</cdr:y>
    </cdr:from>
    <cdr:to>
      <cdr:x>0.58997</cdr:x>
      <cdr:y>0.08489</cdr:y>
    </cdr:to>
    <cdr:sp macro="" textlink="">
      <cdr:nvSpPr>
        <cdr:cNvPr id="3" name="TextBox 4"/>
        <cdr:cNvSpPr txBox="1"/>
      </cdr:nvSpPr>
      <cdr:spPr>
        <a:xfrm xmlns:a="http://schemas.openxmlformats.org/drawingml/2006/main">
          <a:off x="3877797" y="27432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/>
            <a:t>in millions</a:t>
          </a:r>
        </a:p>
      </cdr:txBody>
    </cdr:sp>
  </cdr:relSizeAnchor>
</c:userShapes>
</file>

<file path=word/drawings/drawing45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0.45648</cdr:x>
      <cdr:y>0.08058</cdr:y>
    </cdr:from>
    <cdr:to>
      <cdr:x>0.58043</cdr:x>
      <cdr:y>0.11629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98422" y="449443"/>
          <a:ext cx="1031393" cy="199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46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0.05032</cdr:y>
    </cdr:from>
    <cdr:to>
      <cdr:x>0.577</cdr:x>
      <cdr:y>0.08603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76636" y="295261"/>
          <a:ext cx="1005892" cy="209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47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0.46221</cdr:x>
      <cdr:y>0.04007</cdr:y>
    </cdr:from>
    <cdr:to>
      <cdr:x>0.58616</cdr:x>
      <cdr:y>0.07578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46047" y="223527"/>
          <a:ext cx="1031393" cy="199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48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0.45763</cdr:x>
      <cdr:y>0.05315</cdr:y>
    </cdr:from>
    <cdr:to>
      <cdr:x>0.58158</cdr:x>
      <cdr:y>0.08886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07947" y="296433"/>
          <a:ext cx="1031393" cy="199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0.05429</cdr:y>
    </cdr:from>
    <cdr:to>
      <cdr:x>0.577</cdr:x>
      <cdr:y>0.09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62942" y="349591"/>
          <a:ext cx="1029504" cy="229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0.05429</cdr:y>
    </cdr:from>
    <cdr:to>
      <cdr:x>0.577</cdr:x>
      <cdr:y>0.09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62942" y="349591"/>
          <a:ext cx="1029504" cy="229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0.45305</cdr:x>
      <cdr:y>0.05429</cdr:y>
    </cdr:from>
    <cdr:to>
      <cdr:x>0.577</cdr:x>
      <cdr:y>0.09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62942" y="349591"/>
          <a:ext cx="1029504" cy="229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0.01875</cdr:x>
      <cdr:y>0.44444</cdr:y>
    </cdr:from>
    <cdr:to>
      <cdr:x>0.21875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0.45305</cdr:x>
      <cdr:y>0.05429</cdr:y>
    </cdr:from>
    <cdr:to>
      <cdr:x>0.577</cdr:x>
      <cdr:y>0.09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62942" y="349591"/>
          <a:ext cx="1029504" cy="229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millions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0.45915</cdr:x>
      <cdr:y>0.0634</cdr:y>
    </cdr:from>
    <cdr:to>
      <cdr:x>0.5831</cdr:x>
      <cdr:y>0.09911</cdr:y>
    </cdr:to>
    <cdr:sp macro="" textlink="">
      <cdr:nvSpPr>
        <cdr:cNvPr id="2" name="TextBox 4"/>
        <cdr:cNvSpPr txBox="1"/>
      </cdr:nvSpPr>
      <cdr:spPr>
        <a:xfrm xmlns:a="http://schemas.openxmlformats.org/drawingml/2006/main">
          <a:off x="3820647" y="353621"/>
          <a:ext cx="1031393" cy="19918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0.45915</cdr:x>
      <cdr:y>0.0634</cdr:y>
    </cdr:from>
    <cdr:to>
      <cdr:x>0.5831</cdr:x>
      <cdr:y>0.09911</cdr:y>
    </cdr:to>
    <cdr:sp macro="" textlink="">
      <cdr:nvSpPr>
        <cdr:cNvPr id="3" name="TextBox 4"/>
        <cdr:cNvSpPr txBox="1"/>
      </cdr:nvSpPr>
      <cdr:spPr>
        <a:xfrm xmlns:a="http://schemas.openxmlformats.org/drawingml/2006/main">
          <a:off x="3820647" y="353621"/>
          <a:ext cx="1031393" cy="199185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181A2-50E3-4892-992A-58471A82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2015-06-30T11:43:00Z</dcterms:created>
  <dcterms:modified xsi:type="dcterms:W3CDTF">2015-06-30T11:43:00Z</dcterms:modified>
</cp:coreProperties>
</file>